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BC8E5F" w14:textId="77777777" w:rsidR="00164692" w:rsidRDefault="0032627A">
      <w:pPr>
        <w:pStyle w:val="Heading1"/>
      </w:pPr>
      <w:bookmarkStart w:id="0" w:name="dallas-capital"/>
      <w:r>
        <w:t>Dallas Capital</w:t>
      </w:r>
    </w:p>
    <w:p w14:paraId="52AEBDCF" w14:textId="77777777" w:rsidR="00164692" w:rsidRDefault="0032627A">
      <w:pPr>
        <w:pStyle w:val="Heading2"/>
      </w:pPr>
      <w:bookmarkStart w:id="1" w:name="X9580bd24408e92adb00d2d6e1533ccd875491cd"/>
      <w:r>
        <w:t>Building the Modern Non-Agency Lending Platform</w:t>
      </w:r>
    </w:p>
    <w:p w14:paraId="14B48C3D" w14:textId="77777777" w:rsidR="00164692" w:rsidRDefault="0032627A">
      <w:pPr>
        <w:pStyle w:val="Heading3"/>
      </w:pPr>
      <w:bookmarkStart w:id="2" w:name="X25822feecefa358365058682e3af43f255cdf46"/>
      <w:r>
        <w:t>A Strategic Framework for Agency-Focused Mortgage Lenders</w:t>
      </w:r>
    </w:p>
    <w:p w14:paraId="6D74B20F" w14:textId="77777777" w:rsidR="00164692" w:rsidRDefault="008E777A">
      <w:r>
        <w:rPr>
          <w:noProof/>
        </w:rPr>
      </w:r>
      <w:r>
        <w:pict w14:anchorId="74914057">
          <v:rect id="Horizontal Line 1" o:spid="_x0000_s106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30DFE89B" w14:textId="77777777" w:rsidR="00164692" w:rsidRDefault="0032627A">
      <w:pPr>
        <w:pStyle w:val="Heading1"/>
      </w:pPr>
      <w:bookmarkStart w:id="3" w:name="executive-summary"/>
      <w:bookmarkEnd w:id="0"/>
      <w:bookmarkEnd w:id="1"/>
      <w:bookmarkEnd w:id="2"/>
      <w:r>
        <w:t>Executive Summary</w:t>
      </w:r>
    </w:p>
    <w:p w14:paraId="18EB3F3A" w14:textId="4AC044CD" w:rsidR="00164692" w:rsidRDefault="0032627A">
      <w:pPr>
        <w:pStyle w:val="FirstParagraph"/>
      </w:pPr>
      <w:r>
        <w:t>The agency mortgage system was built for a borrower who held one job for thirty years, owned one home, and earned a single W-2 paycheck. That borrower is increasingly rare, and agency underwriting has not kept up.</w:t>
      </w:r>
    </w:p>
    <w:p w14:paraId="13E56166" w14:textId="060AB6FB" w:rsidR="00164692" w:rsidRDefault="0032627A">
      <w:pPr>
        <w:pStyle w:val="BodyText"/>
      </w:pPr>
      <w:r>
        <w:t xml:space="preserve">Today’s creditworthy borrowers earn from self-employment, entrepreneurial ventures, rental portfolios, contract work, investments, and digital assets. </w:t>
      </w:r>
    </w:p>
    <w:p w14:paraId="61D64AE9" w14:textId="641A5FF9" w:rsidR="00164692" w:rsidRDefault="0032627A">
      <w:pPr>
        <w:pStyle w:val="BodyText"/>
      </w:pPr>
      <w:r>
        <w:t>Most lenders, however, remain operationally and culturally built around agency manufacturing: rigid underwriting frameworks, dated income analysis, appraisal-heavy collateral processes, manual workflows, and layers of operational overlay. The result is a widening gap between how creditworthy borrowers actually live and earn, and the infrastructure built to serve them.</w:t>
      </w:r>
    </w:p>
    <w:p w14:paraId="15196B18" w14:textId="77777777" w:rsidR="00164692" w:rsidRDefault="0032627A">
      <w:pPr>
        <w:pStyle w:val="BodyText"/>
      </w:pPr>
      <w:r>
        <w:t>Non-Agency lending — particularly HELOCs, Interest-Only products, and broader Non-QM solutions — represents the next major growth frontier for lenders seeking to diversify revenue, expand market relevance, improve margins, and deepen customer relationships.</w:t>
      </w:r>
    </w:p>
    <w:p w14:paraId="0B2E36F6" w14:textId="77777777" w:rsidR="00164692" w:rsidRDefault="0032627A">
      <w:pPr>
        <w:pStyle w:val="BodyText"/>
      </w:pPr>
      <w:r>
        <w:t>However, most agency-focused lenders fail to successfully launch Non-Agency initiatives because they attempt to layer new products onto legacy agency operating models rather than redesigning the credit platform itself.</w:t>
      </w:r>
    </w:p>
    <w:p w14:paraId="06FF3A89" w14:textId="7CAD0966" w:rsidR="00164692" w:rsidRDefault="0032627A">
      <w:pPr>
        <w:pStyle w:val="BodyText"/>
      </w:pPr>
      <w:r>
        <w:t>The next generation of mortgage leaders will not win by adding Non-QM products to an agency operating model. They will win by building modern credit platforms that treat Non-Agency lending as what it actually is: Modern Prime Credit for borrowers the legacy framework was never built to evaluate.</w:t>
      </w:r>
    </w:p>
    <w:p w14:paraId="087551F8" w14:textId="77777777" w:rsidR="00164692" w:rsidRDefault="0032627A">
      <w:pPr>
        <w:pStyle w:val="BodyText"/>
      </w:pPr>
      <w:r>
        <w:t>This strategic paper outlines a governance, operating, and implementation framework for lenders seeking to launch scalable Non-Agency lending capabilities while maintaining institutional discipline, investor confidence, and operational efficiency.</w:t>
      </w:r>
    </w:p>
    <w:p w14:paraId="17D6536A" w14:textId="77777777" w:rsidR="00164692" w:rsidRDefault="0032627A">
      <w:pPr>
        <w:pStyle w:val="BodyText"/>
      </w:pPr>
      <w:r>
        <w:t>The framework is built around six core strategic principles:</w:t>
      </w:r>
    </w:p>
    <w:p w14:paraId="144AC574" w14:textId="77777777" w:rsidR="00164692" w:rsidRDefault="0032627A">
      <w:pPr>
        <w:pStyle w:val="Compact"/>
        <w:numPr>
          <w:ilvl w:val="0"/>
          <w:numId w:val="2"/>
        </w:numPr>
      </w:pPr>
      <w:r>
        <w:t>One unified modern credit philosophy</w:t>
      </w:r>
    </w:p>
    <w:p w14:paraId="1385B29C" w14:textId="77777777" w:rsidR="00164692" w:rsidRDefault="0032627A">
      <w:pPr>
        <w:pStyle w:val="Compact"/>
        <w:numPr>
          <w:ilvl w:val="0"/>
          <w:numId w:val="2"/>
        </w:numPr>
      </w:pPr>
      <w:r>
        <w:t>Simplified and scalable underwriting</w:t>
      </w:r>
    </w:p>
    <w:p w14:paraId="0B21B862" w14:textId="77777777" w:rsidR="00164692" w:rsidRDefault="0032627A">
      <w:pPr>
        <w:pStyle w:val="Compact"/>
        <w:numPr>
          <w:ilvl w:val="0"/>
          <w:numId w:val="2"/>
        </w:numPr>
      </w:pPr>
      <w:r>
        <w:t>Modern income recognition</w:t>
      </w:r>
    </w:p>
    <w:p w14:paraId="27AB3370" w14:textId="77777777" w:rsidR="00164692" w:rsidRDefault="0032627A">
      <w:pPr>
        <w:pStyle w:val="Compact"/>
        <w:numPr>
          <w:ilvl w:val="0"/>
          <w:numId w:val="2"/>
        </w:numPr>
      </w:pPr>
      <w:r>
        <w:lastRenderedPageBreak/>
        <w:t>Technology-enabled valuation and risk assessment</w:t>
      </w:r>
    </w:p>
    <w:p w14:paraId="6DE10D20" w14:textId="77777777" w:rsidR="00164692" w:rsidRDefault="0032627A">
      <w:pPr>
        <w:pStyle w:val="Compact"/>
        <w:numPr>
          <w:ilvl w:val="0"/>
          <w:numId w:val="2"/>
        </w:numPr>
      </w:pPr>
      <w:r>
        <w:t>Integrated governance and capital markets alignment</w:t>
      </w:r>
    </w:p>
    <w:p w14:paraId="6DC182BA" w14:textId="77777777" w:rsidR="00164692" w:rsidRDefault="0032627A">
      <w:pPr>
        <w:pStyle w:val="Compact"/>
        <w:numPr>
          <w:ilvl w:val="0"/>
          <w:numId w:val="2"/>
        </w:numPr>
      </w:pPr>
      <w:r>
        <w:t>Organizational transformation from agency manufacturing to modern credit execution</w:t>
      </w:r>
    </w:p>
    <w:p w14:paraId="33C10E62" w14:textId="154E91A2" w:rsidR="00164692" w:rsidRDefault="0032627A">
      <w:pPr>
        <w:pStyle w:val="FirstParagraph"/>
      </w:pPr>
      <w:r>
        <w:t>The lenders that move first will own the borrower relationships, the recapture economics, and the capital markets credibility that follow. The lenders that wait will spend the next cycle defending market share they used to take for granted.</w:t>
      </w:r>
    </w:p>
    <w:p w14:paraId="1051A656" w14:textId="77777777" w:rsidR="00164692" w:rsidRDefault="008E777A">
      <w:r>
        <w:rPr>
          <w:noProof/>
        </w:rPr>
      </w:r>
      <w:r>
        <w:pict w14:anchorId="556CA868">
          <v:rect id="Horizontal Line 2" o:spid="_x0000_s106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766F7D4" w14:textId="77777777" w:rsidR="00164692" w:rsidRDefault="0032627A">
      <w:pPr>
        <w:pStyle w:val="Heading1"/>
      </w:pPr>
      <w:bookmarkStart w:id="4" w:name="i.-the-strategic-imperative"/>
      <w:bookmarkEnd w:id="3"/>
      <w:r>
        <w:t>I. The Strategic Imperative</w:t>
      </w:r>
    </w:p>
    <w:p w14:paraId="343E378A" w14:textId="77777777" w:rsidR="00164692" w:rsidRDefault="0032627A">
      <w:pPr>
        <w:pStyle w:val="Heading2"/>
      </w:pPr>
      <w:bookmarkStart w:id="5" w:name="X20b194e91eade6a497b2618a3e1fe6670659b4c"/>
      <w:r>
        <w:t>The Agency-Centric Model Is No Longer Sufficient</w:t>
      </w:r>
    </w:p>
    <w:p w14:paraId="51E57376" w14:textId="0235A5D5" w:rsidR="00164692" w:rsidRDefault="0032627A">
      <w:pPr>
        <w:pStyle w:val="FirstParagraph"/>
      </w:pPr>
      <w:r>
        <w:t>For two decades, the mortgage industry has run on agency eligibility. The operational and cultural DNA of most lenders has been shaped by GSE underwriting standards, AUS dependency, repurchase risk management, standardized documentation, and conservative credit interpretation. That model worked when employment was standardized and borrower income was predictable. Neither of those things describes the country we live in now. The agency seller of 30-year fixed-rate loans is a dinosaur clomping around the earth, doing reasonably well, and increasingly oblivious to how short its remaining runway actually is.</w:t>
      </w:r>
    </w:p>
    <w:p w14:paraId="18FB221D" w14:textId="7389A055" w:rsidR="00164692" w:rsidRDefault="0032627A">
      <w:pPr>
        <w:pStyle w:val="BodyText"/>
      </w:pPr>
      <w:r>
        <w:t>Today’s borrower owns a business or a piece of one. Pulls income from a salary, a side hustle, a rental, and a portfolio. Earns more from a bonus than a base. Treats liquidity as a household priority, not an afterthought. The single-family home itself has changed too. It’s a residence, a home office, sometimes an ADU generating rental income, sometimes a multi-generational asset. The agency framework was built for none of that.</w:t>
      </w:r>
    </w:p>
    <w:p w14:paraId="13E510D5" w14:textId="0D7BDEF4" w:rsidR="00164692" w:rsidRDefault="0032627A">
      <w:pPr>
        <w:pStyle w:val="FirstParagraph"/>
      </w:pPr>
      <w:r>
        <w:t>The friction problem compounds the income problem. A consumer can open a brokerage account in minutes, move money between banks instantly, and get approved for a credit card in seconds. Then they apply for a mortgage and get asked for two years of tax returns, three months of bank statements, a CPA letter, an appraisal, a title search, and a manual underwriter’s judgment call. The same household, the same income, the same balance sheet, evaluated by two completely different decades.</w:t>
      </w:r>
    </w:p>
    <w:p w14:paraId="616DE987" w14:textId="689D0FA6" w:rsidR="00164692" w:rsidRDefault="0032627A">
      <w:pPr>
        <w:pStyle w:val="FirstParagraph"/>
      </w:pPr>
      <w:r>
        <w:t>The opportunity for lenders is the gap between those two decades. Whoever closes it first owns the borrower.</w:t>
      </w:r>
    </w:p>
    <w:p w14:paraId="50A4BA8E" w14:textId="77777777" w:rsidR="00164692" w:rsidRDefault="008E777A">
      <w:r>
        <w:rPr>
          <w:noProof/>
        </w:rPr>
      </w:r>
      <w:r>
        <w:pict w14:anchorId="36ABACD3">
          <v:rect id="Horizontal Line 3" o:spid="_x0000_s106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A95C39C" w14:textId="77777777" w:rsidR="00164692" w:rsidRDefault="0032627A">
      <w:pPr>
        <w:pStyle w:val="Heading1"/>
      </w:pPr>
      <w:bookmarkStart w:id="6" w:name="X43155c8a4e8c6539f81d95570cc681a95b9a0d3"/>
      <w:bookmarkEnd w:id="4"/>
      <w:bookmarkEnd w:id="5"/>
      <w:r>
        <w:lastRenderedPageBreak/>
        <w:t>II. Defining the Modern Non-Agency Platform</w:t>
      </w:r>
    </w:p>
    <w:p w14:paraId="3E7E1256" w14:textId="77777777" w:rsidR="00164692" w:rsidRDefault="0032627A">
      <w:pPr>
        <w:pStyle w:val="Heading2"/>
      </w:pPr>
      <w:bookmarkStart w:id="7" w:name="beyond-non-qm"/>
      <w:r>
        <w:t>Beyond “Non-QM”</w:t>
      </w:r>
    </w:p>
    <w:p w14:paraId="05923ED8" w14:textId="6C6E486A" w:rsidR="00164692" w:rsidRDefault="0032627A">
      <w:pPr>
        <w:pStyle w:val="FirstParagraph"/>
      </w:pPr>
      <w:r>
        <w:t>The most important shift in this entire conversation is the one that happens before any new product hits the rate sheet. It’s a shift in how lenders think about what Non-Agency lending actually is.</w:t>
      </w:r>
    </w:p>
    <w:p w14:paraId="56819087" w14:textId="5DDD070A" w:rsidR="00164692" w:rsidRDefault="0032627A">
      <w:pPr>
        <w:pStyle w:val="BodyText"/>
      </w:pPr>
      <w:r>
        <w:t>For most of the last decade, lenders have filed Non-QM under exception lending, specialty finance, or elevated risk lending. That filing is wrong, and it’s the source of nearly every operational failure that follows.</w:t>
      </w:r>
    </w:p>
    <w:p w14:paraId="57DB784E" w14:textId="1B987F63" w:rsidR="00164692" w:rsidRDefault="0032627A">
      <w:pPr>
        <w:pStyle w:val="BodyText"/>
      </w:pPr>
      <w:r>
        <w:t>The next generation of Non-Agency products is something different. It’s the rest of the prime market, sitting outside the GSE box.</w:t>
      </w:r>
    </w:p>
    <w:p w14:paraId="19A32FAA" w14:textId="77777777" w:rsidR="00164692" w:rsidRDefault="0032627A">
      <w:pPr>
        <w:pStyle w:val="BlockText"/>
      </w:pPr>
      <w:r>
        <w:t>Modern Prime Credit.</w:t>
      </w:r>
    </w:p>
    <w:p w14:paraId="246852BE" w14:textId="445BB7AE" w:rsidR="00164692" w:rsidRDefault="0032627A">
      <w:pPr>
        <w:pStyle w:val="FirstParagraph"/>
      </w:pPr>
      <w:r>
        <w:t>Modern Prime Credit doesn’t lower underwriting standards. It modernizes them, using the financial profile borrowers actually have rather than the one a 1990s template assumes.</w:t>
      </w:r>
    </w:p>
    <w:p w14:paraId="61CF72FA" w14:textId="126BBF4E" w:rsidR="00164692" w:rsidRDefault="0032627A">
      <w:pPr>
        <w:pStyle w:val="BodyText"/>
      </w:pPr>
      <w:r>
        <w:t>The platform that delivers Modern Prime Credit operates on different premises than agency. Cash flow carries more weight than tax return complexity. Liquidity carries more weight than rigid documentation. Trended behavior carries more weight than a single static score. And technology earns its keep by improving both the risk picture and the borrower experience at the same time.</w:t>
      </w:r>
    </w:p>
    <w:p w14:paraId="2872AE35" w14:textId="79DF13C2" w:rsidR="00164692" w:rsidRDefault="0032627A">
      <w:pPr>
        <w:pStyle w:val="FirstParagraph"/>
      </w:pPr>
      <w:r>
        <w:t>Position Non-Agency lending internally and externally as Modern Prime Credit, full stop. The vocabulary change does real work. It tells executives this is a strategic build, not a side hustle. It tells investors the assets are prime credit with modern documentation, not a risk experiment. It tells loan officers and underwriters they’re extending the lender’s core franchise, not running an exception program. And it tells the borrower they’re being evaluated as the creditworthy household they are, not the W-2 ghost the agency framework still expects them to be.</w:t>
      </w:r>
    </w:p>
    <w:p w14:paraId="6FC15849" w14:textId="77777777" w:rsidR="00164692" w:rsidRDefault="008E777A">
      <w:r>
        <w:rPr>
          <w:noProof/>
        </w:rPr>
      </w:r>
      <w:r>
        <w:pict w14:anchorId="5A938F13">
          <v:rect id="Horizontal Line 4" o:spid="_x0000_s106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764D3AA" w14:textId="77777777" w:rsidR="00164692" w:rsidRDefault="0032627A">
      <w:pPr>
        <w:pStyle w:val="Heading1"/>
      </w:pPr>
      <w:bookmarkStart w:id="8" w:name="iii.-core-strategic-principles"/>
      <w:bookmarkEnd w:id="6"/>
      <w:bookmarkEnd w:id="7"/>
      <w:r>
        <w:t>III. Core Strategic Principles</w:t>
      </w:r>
    </w:p>
    <w:p w14:paraId="22191739" w14:textId="77777777" w:rsidR="00164692" w:rsidRDefault="0032627A">
      <w:pPr>
        <w:pStyle w:val="Heading1"/>
      </w:pPr>
      <w:bookmarkStart w:id="9" w:name="X572dffbf12aa6a03e2c66146da2fb03e029adb6"/>
      <w:bookmarkEnd w:id="8"/>
      <w:r>
        <w:t>Principle 1: Create One Unified Credit Philosophy</w:t>
      </w:r>
    </w:p>
    <w:p w14:paraId="379C9FDA" w14:textId="6B47405B" w:rsidR="00164692" w:rsidRDefault="0032627A">
      <w:pPr>
        <w:pStyle w:val="FirstParagraph"/>
      </w:pPr>
      <w:r>
        <w:t>When agency lenders launch Non-Agency programs, they almost always make the same mistake. They run each new product on its own guideline matrix, with its own underwriting logic, its own training material, its own QC checklist, and its own secondary execution.</w:t>
      </w:r>
    </w:p>
    <w:p w14:paraId="286C560C" w14:textId="7FC7A9F8" w:rsidR="00164692" w:rsidRDefault="0032627A">
      <w:pPr>
        <w:pStyle w:val="BodyText"/>
      </w:pPr>
      <w:r>
        <w:lastRenderedPageBreak/>
        <w:t>The result is exactly what you’d expect. Underwriting drifts product to product. Operations gets confused about which rule applies where. Training has to cover three or four parallel systems. Secondary delivery turns into a series of one-off conversations with investors. And defect rates climb because nobody is fully fluent in any one set of rules.</w:t>
      </w:r>
    </w:p>
    <w:p w14:paraId="61B010E1" w14:textId="6A41CD44" w:rsidR="00164692" w:rsidRDefault="0032627A">
      <w:pPr>
        <w:pStyle w:val="FirstParagraph"/>
      </w:pPr>
      <w:r>
        <w:t>There’s a better way to build this:</w:t>
      </w:r>
    </w:p>
    <w:p w14:paraId="3A846F37" w14:textId="77777777" w:rsidR="00164692" w:rsidRDefault="0032627A">
      <w:pPr>
        <w:pStyle w:val="BlockText"/>
      </w:pPr>
      <w:r>
        <w:t>One modernized credit framework across all Non-Agency products.</w:t>
      </w:r>
    </w:p>
    <w:p w14:paraId="05AB64E7" w14:textId="796CA196" w:rsidR="00164692" w:rsidRDefault="0032627A">
      <w:pPr>
        <w:pStyle w:val="FirstParagraph"/>
      </w:pPr>
      <w:r>
        <w:t>Treat HELOCs, Interest-Only loans, and Non-QM mortgages as expressions of a single credit philosophy, not as three disconnected programs. The same logic should govern borrower qualification, income recognition, collateral assessment, reserve analysis, and compensating factors across all of them. When the credit philosophy is unified, everything downstream falls into line: underwriting, QC, sales execution, technology architecture, and capital markets delivery all run on the same playbook.</w:t>
      </w:r>
    </w:p>
    <w:p w14:paraId="514E1104" w14:textId="6166E2B1" w:rsidR="00164692" w:rsidRDefault="0032627A">
      <w:pPr>
        <w:pStyle w:val="FirstParagraph"/>
      </w:pPr>
      <w:r>
        <w:t>The point of unifying the credit philosophy isn’t to constrain product variety. It’s to let the borrower-facing experience get simpler while the credit infrastructure underneath gets more disciplined. Lenders that get this right offer more products and run cleaner operations at the same time.</w:t>
      </w:r>
    </w:p>
    <w:p w14:paraId="171BA0F4" w14:textId="77777777" w:rsidR="00164692" w:rsidRDefault="008E777A">
      <w:r>
        <w:rPr>
          <w:noProof/>
        </w:rPr>
      </w:r>
      <w:r>
        <w:pict w14:anchorId="06B012D5">
          <v:rect id="Horizontal Line 5" o:spid="_x0000_s105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9FA72F4" w14:textId="275DBCB8" w:rsidR="00164692" w:rsidRDefault="0032627A">
      <w:pPr>
        <w:pStyle w:val="Heading1"/>
      </w:pPr>
      <w:bookmarkStart w:id="10" w:name="X029562aa528b6cb22318fc1858ad18312f0d519"/>
      <w:bookmarkEnd w:id="9"/>
      <w:r>
        <w:t>Principle 2: Build for Speed and Certainty Without Cutting Corners</w:t>
      </w:r>
    </w:p>
    <w:p w14:paraId="3818CAF7" w14:textId="521DB370" w:rsidR="00164692" w:rsidRDefault="0032627A">
      <w:pPr>
        <w:pStyle w:val="FirstParagraph"/>
      </w:pPr>
      <w:r>
        <w:t>For most of the last decade, the typical Non-QM origination has been the worst-case version of mortgage origination. Slower than agency, more manual than agency, more document-heavy than agency, and operationally inconsistent across files. That experience taught a generation of LOs and borrowers to associate Non-Agency with friction. The next generation lender has to undo that association.</w:t>
      </w:r>
    </w:p>
    <w:p w14:paraId="54911777" w14:textId="5F31403D" w:rsidR="00164692" w:rsidRDefault="0032627A">
      <w:pPr>
        <w:pStyle w:val="BodyText"/>
      </w:pPr>
      <w:r>
        <w:t>Modern Prime Credit products should be designed to originate faster, with simpler documentation, more digital fulfillment, and tighter cycle times than the agency loans they sit alongside. Discipline doesn’t require friction. The discipline is in the rules engine, the data validation, and the QC framework. The friction is what happens when those things aren’t built right.</w:t>
      </w:r>
    </w:p>
    <w:p w14:paraId="5D763437" w14:textId="616F5ACA" w:rsidR="00164692" w:rsidRDefault="0032627A">
      <w:pPr>
        <w:pStyle w:val="BodyText"/>
      </w:pPr>
      <w:r>
        <w:t>Borrowers care about certainty, speed, simplicity, and convenience. They’ve been trained to care by every other piece of consumer finance they touch. Loan officers care about the same things by proxy: shorter cycle times, fewer touches, higher closing certainty. Build a Modern Prime Credit platform that delivers all of that, and the LO doesn’t need to be sold on it. They’ll route business toward it on their own.</w:t>
      </w:r>
    </w:p>
    <w:p w14:paraId="1F4A2BCB" w14:textId="77777777" w:rsidR="00164692" w:rsidRDefault="0032627A">
      <w:pPr>
        <w:pStyle w:val="FirstParagraph"/>
      </w:pPr>
      <w:r>
        <w:t>Loan officers similarly gravitate toward products that:</w:t>
      </w:r>
    </w:p>
    <w:p w14:paraId="5444141D" w14:textId="77777777" w:rsidR="00164692" w:rsidRDefault="0032627A">
      <w:pPr>
        <w:pStyle w:val="FirstParagraph"/>
      </w:pPr>
      <w:r>
        <w:lastRenderedPageBreak/>
        <w:t>Simplification should therefore become a core enterprise design principle.</w:t>
      </w:r>
    </w:p>
    <w:p w14:paraId="52C47E77" w14:textId="77777777" w:rsidR="00164692" w:rsidRDefault="008E777A">
      <w:r>
        <w:rPr>
          <w:noProof/>
        </w:rPr>
      </w:r>
      <w:r>
        <w:pict w14:anchorId="089798C9">
          <v:rect id="Horizontal Line 6" o:spid="_x0000_s105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7348494" w14:textId="77777777" w:rsidR="00164692" w:rsidRDefault="0032627A">
      <w:pPr>
        <w:pStyle w:val="Heading1"/>
      </w:pPr>
      <w:bookmarkStart w:id="11" w:name="principle-3-modernize-income-recognition"/>
      <w:bookmarkEnd w:id="10"/>
      <w:r>
        <w:t>Principle 3: Modernize Income Recognition</w:t>
      </w:r>
    </w:p>
    <w:p w14:paraId="14CF0A72" w14:textId="792750BD" w:rsidR="00164692" w:rsidRDefault="0032627A">
      <w:pPr>
        <w:pStyle w:val="FirstParagraph"/>
      </w:pPr>
      <w:r>
        <w:t>Income recognition is where the agency framework breaks down most visibly, and where modernization delivers the clearest return.</w:t>
      </w:r>
    </w:p>
    <w:p w14:paraId="65D0615F" w14:textId="74514ACF" w:rsidR="00164692" w:rsidRDefault="0032627A">
      <w:pPr>
        <w:pStyle w:val="BodyText"/>
      </w:pPr>
      <w:r>
        <w:t>Today’s borrower has a salary, a side hustle, consulting income, a rental unit downstairs, and a portfolio that throws off real cash. Tomorrow’s borrower will have more of all of it. The agency framework can’t see most of that income, or insists on two years of seasoning before it can. So creditworthy households get pushed into products that don’t fit, denied for income they actually have, or jammed into agency loans they shouldn’t be in. Tax-return-driven analysis penalizes exactly the borrowers a modern lender most wants to serve:</w:t>
      </w:r>
    </w:p>
    <w:p w14:paraId="06346EEE" w14:textId="77777777" w:rsidR="00164692" w:rsidRDefault="0032627A">
      <w:pPr>
        <w:pStyle w:val="Compact"/>
        <w:numPr>
          <w:ilvl w:val="0"/>
          <w:numId w:val="17"/>
        </w:numPr>
      </w:pPr>
      <w:r>
        <w:t>entrepreneurs,</w:t>
      </w:r>
    </w:p>
    <w:p w14:paraId="249045C7" w14:textId="77777777" w:rsidR="00164692" w:rsidRDefault="0032627A">
      <w:pPr>
        <w:pStyle w:val="Compact"/>
        <w:numPr>
          <w:ilvl w:val="0"/>
          <w:numId w:val="17"/>
        </w:numPr>
      </w:pPr>
      <w:r>
        <w:t>real estate investors,</w:t>
      </w:r>
    </w:p>
    <w:p w14:paraId="4DD1A84D" w14:textId="77777777" w:rsidR="00164692" w:rsidRDefault="0032627A">
      <w:pPr>
        <w:pStyle w:val="Compact"/>
        <w:numPr>
          <w:ilvl w:val="0"/>
          <w:numId w:val="17"/>
        </w:numPr>
      </w:pPr>
      <w:r>
        <w:t>consultants,</w:t>
      </w:r>
    </w:p>
    <w:p w14:paraId="7F3276F9" w14:textId="77777777" w:rsidR="00164692" w:rsidRDefault="0032627A">
      <w:pPr>
        <w:pStyle w:val="Compact"/>
        <w:numPr>
          <w:ilvl w:val="0"/>
          <w:numId w:val="17"/>
        </w:numPr>
      </w:pPr>
      <w:r>
        <w:t>small business owners,</w:t>
      </w:r>
    </w:p>
    <w:p w14:paraId="4E0B28F7" w14:textId="77777777" w:rsidR="00164692" w:rsidRDefault="0032627A">
      <w:pPr>
        <w:pStyle w:val="Compact"/>
        <w:numPr>
          <w:ilvl w:val="0"/>
          <w:numId w:val="17"/>
        </w:numPr>
      </w:pPr>
      <w:r>
        <w:t>and high-liquidity households.</w:t>
      </w:r>
    </w:p>
    <w:p w14:paraId="1D2F64F9" w14:textId="6DAFD378" w:rsidR="00164692" w:rsidRDefault="0032627A">
      <w:pPr>
        <w:pStyle w:val="FirstParagraph"/>
      </w:pPr>
      <w:r>
        <w:t>A modern income recognition framework reads each of these borrowers on their own terms. The categories below describe how:</w:t>
      </w:r>
    </w:p>
    <w:p w14:paraId="3E4164BF" w14:textId="77777777" w:rsidR="00164692" w:rsidRDefault="0032627A">
      <w:pPr>
        <w:pStyle w:val="Heading2"/>
      </w:pPr>
      <w:bookmarkStart w:id="12" w:name="self-employed-borrowers"/>
      <w:r>
        <w:t>Self-Employed Borrowers</w:t>
      </w:r>
    </w:p>
    <w:p w14:paraId="6DC2C761" w14:textId="77777777" w:rsidR="00164692" w:rsidRDefault="0032627A">
      <w:pPr>
        <w:pStyle w:val="Compact"/>
        <w:numPr>
          <w:ilvl w:val="0"/>
          <w:numId w:val="18"/>
        </w:numPr>
      </w:pPr>
      <w:r>
        <w:t>12- and 24-month bank statement programs</w:t>
      </w:r>
    </w:p>
    <w:p w14:paraId="6467C5D4" w14:textId="77777777" w:rsidR="00164692" w:rsidRDefault="0032627A">
      <w:pPr>
        <w:pStyle w:val="Compact"/>
        <w:numPr>
          <w:ilvl w:val="0"/>
          <w:numId w:val="18"/>
        </w:numPr>
      </w:pPr>
      <w:r>
        <w:t>CPA or licensed tax preparer validation</w:t>
      </w:r>
    </w:p>
    <w:p w14:paraId="7C1D3DF0" w14:textId="77777777" w:rsidR="00164692" w:rsidRDefault="0032627A">
      <w:pPr>
        <w:pStyle w:val="Compact"/>
        <w:numPr>
          <w:ilvl w:val="0"/>
          <w:numId w:val="18"/>
        </w:numPr>
      </w:pPr>
      <w:r>
        <w:t>business cash-flow analytics</w:t>
      </w:r>
    </w:p>
    <w:p w14:paraId="08DE1DEC" w14:textId="77777777" w:rsidR="00164692" w:rsidRDefault="0032627A">
      <w:pPr>
        <w:pStyle w:val="Compact"/>
        <w:numPr>
          <w:ilvl w:val="0"/>
          <w:numId w:val="18"/>
        </w:numPr>
      </w:pPr>
      <w:r>
        <w:t>expense normalization methodologies</w:t>
      </w:r>
    </w:p>
    <w:p w14:paraId="4C2E9244" w14:textId="77777777" w:rsidR="00164692" w:rsidRDefault="0032627A">
      <w:pPr>
        <w:pStyle w:val="Heading2"/>
      </w:pPr>
      <w:bookmarkStart w:id="13" w:name="gig-economy-and-contract-workers"/>
      <w:bookmarkEnd w:id="12"/>
      <w:r>
        <w:t>Gig Economy and Contract Workers</w:t>
      </w:r>
    </w:p>
    <w:p w14:paraId="31AE2900" w14:textId="77777777" w:rsidR="00164692" w:rsidRDefault="0032627A">
      <w:pPr>
        <w:pStyle w:val="Compact"/>
        <w:numPr>
          <w:ilvl w:val="0"/>
          <w:numId w:val="19"/>
        </w:numPr>
      </w:pPr>
      <w:r>
        <w:t>depository cash-flow analysis</w:t>
      </w:r>
    </w:p>
    <w:p w14:paraId="0167A6DE" w14:textId="77777777" w:rsidR="00164692" w:rsidRDefault="0032627A">
      <w:pPr>
        <w:pStyle w:val="Compact"/>
        <w:numPr>
          <w:ilvl w:val="0"/>
          <w:numId w:val="19"/>
        </w:numPr>
      </w:pPr>
      <w:r>
        <w:t>recurring income pattern recognition</w:t>
      </w:r>
    </w:p>
    <w:p w14:paraId="0079392A" w14:textId="77777777" w:rsidR="00164692" w:rsidRDefault="0032627A">
      <w:pPr>
        <w:pStyle w:val="Compact"/>
        <w:numPr>
          <w:ilvl w:val="0"/>
          <w:numId w:val="19"/>
        </w:numPr>
      </w:pPr>
      <w:r>
        <w:t>platform income verification</w:t>
      </w:r>
    </w:p>
    <w:p w14:paraId="4592C1AC" w14:textId="77777777" w:rsidR="00164692" w:rsidRDefault="0032627A">
      <w:pPr>
        <w:pStyle w:val="Heading2"/>
      </w:pPr>
      <w:bookmarkStart w:id="14" w:name="real-estate-investors"/>
      <w:bookmarkEnd w:id="13"/>
      <w:r>
        <w:t>Real Estate Investors</w:t>
      </w:r>
    </w:p>
    <w:p w14:paraId="2A1CB86A" w14:textId="77777777" w:rsidR="00164692" w:rsidRDefault="0032627A">
      <w:pPr>
        <w:pStyle w:val="Compact"/>
        <w:numPr>
          <w:ilvl w:val="0"/>
          <w:numId w:val="20"/>
        </w:numPr>
      </w:pPr>
      <w:r>
        <w:t>DSCR qualification</w:t>
      </w:r>
    </w:p>
    <w:p w14:paraId="2ADB8C55" w14:textId="77777777" w:rsidR="00164692" w:rsidRDefault="0032627A">
      <w:pPr>
        <w:pStyle w:val="Compact"/>
        <w:numPr>
          <w:ilvl w:val="0"/>
          <w:numId w:val="20"/>
        </w:numPr>
      </w:pPr>
      <w:r>
        <w:t>rental portfolio analysis</w:t>
      </w:r>
    </w:p>
    <w:p w14:paraId="43A359D8" w14:textId="77777777" w:rsidR="00164692" w:rsidRDefault="0032627A">
      <w:pPr>
        <w:pStyle w:val="Compact"/>
        <w:numPr>
          <w:ilvl w:val="0"/>
          <w:numId w:val="20"/>
        </w:numPr>
      </w:pPr>
      <w:r>
        <w:t>lease and cash-flow evaluation</w:t>
      </w:r>
    </w:p>
    <w:p w14:paraId="6CBA7973" w14:textId="77777777" w:rsidR="00164692" w:rsidRDefault="0032627A">
      <w:pPr>
        <w:pStyle w:val="Heading2"/>
      </w:pPr>
      <w:bookmarkStart w:id="15" w:name="high-net-worth-borrowers"/>
      <w:bookmarkEnd w:id="14"/>
      <w:r>
        <w:lastRenderedPageBreak/>
        <w:t>High-Net-Worth Borrowers</w:t>
      </w:r>
    </w:p>
    <w:p w14:paraId="48D223A4" w14:textId="77777777" w:rsidR="00164692" w:rsidRDefault="0032627A">
      <w:pPr>
        <w:pStyle w:val="Compact"/>
        <w:numPr>
          <w:ilvl w:val="0"/>
          <w:numId w:val="21"/>
        </w:numPr>
      </w:pPr>
      <w:r>
        <w:t>asset depletion methodologies</w:t>
      </w:r>
    </w:p>
    <w:p w14:paraId="40AE35F3" w14:textId="77777777" w:rsidR="00164692" w:rsidRDefault="0032627A">
      <w:pPr>
        <w:pStyle w:val="Compact"/>
        <w:numPr>
          <w:ilvl w:val="0"/>
          <w:numId w:val="21"/>
        </w:numPr>
      </w:pPr>
      <w:r>
        <w:t>securities-backed reserve analysis</w:t>
      </w:r>
    </w:p>
    <w:p w14:paraId="76589047" w14:textId="77777777" w:rsidR="00164692" w:rsidRDefault="0032627A">
      <w:pPr>
        <w:pStyle w:val="Compact"/>
        <w:numPr>
          <w:ilvl w:val="0"/>
          <w:numId w:val="21"/>
        </w:numPr>
      </w:pPr>
      <w:r>
        <w:t>trust and investment income recognition</w:t>
      </w:r>
    </w:p>
    <w:p w14:paraId="3EA3EE4D" w14:textId="77777777" w:rsidR="00164692" w:rsidRDefault="0032627A">
      <w:pPr>
        <w:pStyle w:val="Heading2"/>
      </w:pPr>
      <w:bookmarkStart w:id="16" w:name="digital-asset-holders"/>
      <w:bookmarkEnd w:id="15"/>
      <w:r>
        <w:t>Digital Asset Holders</w:t>
      </w:r>
    </w:p>
    <w:p w14:paraId="31F9D937" w14:textId="77777777" w:rsidR="00164692" w:rsidRDefault="0032627A">
      <w:pPr>
        <w:pStyle w:val="Compact"/>
        <w:numPr>
          <w:ilvl w:val="0"/>
          <w:numId w:val="22"/>
        </w:numPr>
      </w:pPr>
      <w:r>
        <w:t>verified crypto reserve treatment</w:t>
      </w:r>
    </w:p>
    <w:p w14:paraId="590ED345" w14:textId="77777777" w:rsidR="00164692" w:rsidRDefault="0032627A">
      <w:pPr>
        <w:pStyle w:val="Compact"/>
        <w:numPr>
          <w:ilvl w:val="0"/>
          <w:numId w:val="22"/>
        </w:numPr>
      </w:pPr>
      <w:r>
        <w:t>custodial validation standards</w:t>
      </w:r>
    </w:p>
    <w:p w14:paraId="28CBD210" w14:textId="77777777" w:rsidR="00164692" w:rsidRDefault="0032627A">
      <w:pPr>
        <w:pStyle w:val="Compact"/>
        <w:numPr>
          <w:ilvl w:val="0"/>
          <w:numId w:val="22"/>
        </w:numPr>
      </w:pPr>
      <w:r>
        <w:t>volatility-adjusted reserve methodologies</w:t>
      </w:r>
    </w:p>
    <w:p w14:paraId="2E467B0B" w14:textId="0D508E92" w:rsidR="00164692" w:rsidRDefault="0032627A">
      <w:pPr>
        <w:pStyle w:val="FirstParagraph"/>
      </w:pPr>
      <w:r>
        <w:t>None of this represents a relaxation of underwriting standards. It represents an expansion of the lender’s ability to evaluate creditworthiness accurately, using the financial profile borrowers actually present rather than the one a 1990s template assumes they should.</w:t>
      </w:r>
    </w:p>
    <w:p w14:paraId="00000002" w14:textId="77777777" w:rsidR="00164692" w:rsidRDefault="0032627A">
      <w:pPr>
        <w:pStyle w:val="BodyText"/>
      </w:pPr>
      <w:r>
        <w:t>There’s a structural issue underneath the income problem worth naming directly. The agency framework treats every loan as a new deal. There’s no real mechanism for evaluating a borrower across their full balance sheet, no cross-collateralization, no standing relationship that compounds over multiple transactions. Modern wealth doesn’t work that way. Borrowers hold real estate, securities, businesses, and digital assets simultaneously, and they make borrowing decisions against the full picture. A modern credit platform should be able to read that picture too.</w:t>
      </w:r>
    </w:p>
    <w:p w14:paraId="35CD4351" w14:textId="77777777" w:rsidR="00164692" w:rsidRDefault="008E777A">
      <w:r>
        <w:rPr>
          <w:noProof/>
        </w:rPr>
      </w:r>
      <w:r>
        <w:pict w14:anchorId="18FB2737">
          <v:rect id="Horizontal Line 7" o:spid="_x0000_s105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E9C4C53" w14:textId="77777777" w:rsidR="00164692" w:rsidRDefault="0032627A">
      <w:pPr>
        <w:pStyle w:val="Heading1"/>
      </w:pPr>
      <w:bookmarkStart w:id="17" w:name="X813e33b2c104ec47e44406d5cf51e8c7ce54db5"/>
      <w:bookmarkEnd w:id="11"/>
      <w:bookmarkEnd w:id="16"/>
      <w:r>
        <w:t>Principle 4: Use Data-Driven Collateral Analysis</w:t>
      </w:r>
    </w:p>
    <w:p w14:paraId="6D28D415" w14:textId="55D275E4" w:rsidR="00164692" w:rsidRDefault="0032627A">
      <w:pPr>
        <w:pStyle w:val="FirstParagraph"/>
      </w:pPr>
      <w:r>
        <w:t>The full interior appraisal is one of the last analog steps left in mortgage origination, and it’s become a serious drag on the rest of the system. It’s expensive, slow, inconsistent across appraisers, and frequently unnecessary for the credit profile in front of you. Industry estimates suggest 70 to 80 percent of single-family valuations in the U.S. could be handled by an AVM today. The remaining 20 to 30 percent, genuinely unique properties with complex configurations or elevated leverage, is where the human appraiser still earns their fee.</w:t>
      </w:r>
    </w:p>
    <w:p w14:paraId="12E75082" w14:textId="32DEF70F" w:rsidR="00164692" w:rsidRDefault="0032627A">
      <w:pPr>
        <w:pStyle w:val="FirstParagraph"/>
      </w:pPr>
      <w:r>
        <w:t>A modern collateral strategy uses the right tool for the right risk. AVMs, hybrid valuations, desktop appraisals, property analytics, and data-driven collateral scoring handle the bulk of the volume. Full interior appraisals get reserved for the cases that genuinely need them: higher-risk collateral, complex properties, and elevated-leverage scenarios where a person walking the property still adds something the data can’t.</w:t>
      </w:r>
    </w:p>
    <w:p w14:paraId="1E7F343F" w14:textId="5D81F9AD" w:rsidR="00164692" w:rsidRDefault="0032627A">
      <w:pPr>
        <w:pStyle w:val="FirstParagraph"/>
      </w:pPr>
      <w:r>
        <w:t>The borrower experience improves. Cycle times shorten. Operating costs come down. And the platform finally starts to feel like the rest of the financial services world the borrower is already living in.</w:t>
      </w:r>
    </w:p>
    <w:p w14:paraId="11041FAB" w14:textId="77777777" w:rsidR="00164692" w:rsidRDefault="008E777A">
      <w:r>
        <w:rPr>
          <w:noProof/>
        </w:rPr>
      </w:r>
      <w:r>
        <w:pict w14:anchorId="1BC4DF74">
          <v:rect id="Horizontal Line 8" o:spid="_x0000_s105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63FA13C" w14:textId="77777777" w:rsidR="00164692" w:rsidRDefault="0032627A">
      <w:pPr>
        <w:pStyle w:val="Heading1"/>
      </w:pPr>
      <w:bookmarkStart w:id="18" w:name="iv.-product-strategy"/>
      <w:bookmarkEnd w:id="17"/>
      <w:r>
        <w:t>IV. Product Strategy</w:t>
      </w:r>
    </w:p>
    <w:p w14:paraId="32196AE4" w14:textId="77777777" w:rsidR="00164692" w:rsidRDefault="0032627A">
      <w:pPr>
        <w:pStyle w:val="Heading1"/>
      </w:pPr>
      <w:bookmarkStart w:id="19" w:name="a.-helocs-as-the-strategic-entry-point"/>
      <w:bookmarkEnd w:id="18"/>
      <w:r>
        <w:t>A. HELOCs as the Strategic Entry Point</w:t>
      </w:r>
    </w:p>
    <w:p w14:paraId="14267C7B" w14:textId="5E5449C6" w:rsidR="00164692" w:rsidRDefault="0032627A">
      <w:pPr>
        <w:pStyle w:val="FirstParagraph"/>
      </w:pPr>
      <w:r>
        <w:t>If a lender is going to start anywhere with Modern Prime Credit, start with HELOCs. American homeowners are sitting on more equity than at any point in modern history. They want access to it. And the lender that gives them the simplest path to that equity owns the household relationship for everything that follows.</w:t>
      </w:r>
    </w:p>
    <w:p w14:paraId="23823162" w14:textId="629F084B" w:rsidR="00164692" w:rsidRDefault="0032627A">
      <w:pPr>
        <w:pStyle w:val="BodyText"/>
      </w:pPr>
      <w:r>
        <w:t>A HELOC is a customer acquisition tool, a retention and recapture vehicle, a household liquidity solution, a cross-sell platform, and a portfolio relationship deepener, all in the same product. In an elevated-rate environment where most homeowners aren’t going to refinance their first lien anytime soon, a HELOC is often the only meaningful conversation a lender gets to have with the household. It’s the equity-rich borrower’s answer for home improvement, debt consolidation, investment opportunities, and pure liquidity preservation, all without giving up the 3% first mortgage they’re sitting on.</w:t>
      </w:r>
    </w:p>
    <w:p w14:paraId="56C75F43" w14:textId="6B26BE2E" w:rsidR="00164692" w:rsidRDefault="0032627A">
      <w:pPr>
        <w:pStyle w:val="FirstParagraph"/>
      </w:pPr>
      <w:r>
        <w:t>The platform that wins on HELOCs handles the basics in software: rapid decisioning, streamlined documentation, automated valuations, digital fulfillment, fast funding. Whoever delivers the simplest path to a borrower’s own equity becomes that borrower’s lender for the next decade.</w:t>
      </w:r>
    </w:p>
    <w:p w14:paraId="399E63BC" w14:textId="77777777" w:rsidR="00164692" w:rsidRDefault="008E777A">
      <w:r>
        <w:rPr>
          <w:noProof/>
        </w:rPr>
      </w:r>
      <w:r>
        <w:pict w14:anchorId="40164483">
          <v:rect id="Horizontal Line 9" o:spid="_x0000_s1055"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C64E756" w14:textId="77777777" w:rsidR="00164692" w:rsidRDefault="0032627A">
      <w:pPr>
        <w:pStyle w:val="Heading1"/>
      </w:pPr>
      <w:bookmarkStart w:id="20" w:name="X07ef25dc4963c7085f3826424c8cbe063b45a72"/>
      <w:bookmarkEnd w:id="19"/>
      <w:r>
        <w:t>B. Interest-Only Lending as a Liquidity Product</w:t>
      </w:r>
    </w:p>
    <w:p w14:paraId="160B7F06" w14:textId="485AE119" w:rsidR="00164692" w:rsidRDefault="0032627A">
      <w:pPr>
        <w:pStyle w:val="FirstParagraph"/>
      </w:pPr>
      <w:r>
        <w:t>Interest-Only is the product most likely to get an instinctive no from a credit officer who lived through 2007. That instinct is understandable. It’s also wrong about today’s product.</w:t>
      </w:r>
    </w:p>
    <w:p w14:paraId="5214C62C" w14:textId="617A559F" w:rsidR="00164692" w:rsidRDefault="0032627A">
      <w:pPr>
        <w:pStyle w:val="BodyText"/>
      </w:pPr>
      <w:r>
        <w:t>Pre-crisis IO was a teaser-rate affordability product extended to subprime borrowers with no documented capacity to absorb the eventual reset. That’s not what modern IO is. Modern IO is a cash-flow tool used by affluent borrowers, sophisticated investors, and liquidity-focused households who could pay principal but choose not to.</w:t>
      </w:r>
    </w:p>
    <w:p w14:paraId="3A2644B4" w14:textId="6871ADEC" w:rsidR="00164692" w:rsidRDefault="0032627A">
      <w:pPr>
        <w:pStyle w:val="FirstParagraph"/>
      </w:pPr>
      <w:r>
        <w:t>Their reasons for choosing IO are deliberate. Cash-flow flexibility for households with lumpy income. Investment optionality for borrowers who can earn more on the principal than the loan rate costs them. Tax efficiency for high-bracket filers. Liquidity preservation for anyone who’d rather hold cash than have it locked up in equity. None of that is risk layering. It’s portfolio strategy.</w:t>
      </w:r>
    </w:p>
    <w:p w14:paraId="4D378651" w14:textId="271D4E72" w:rsidR="00164692" w:rsidRDefault="0032627A">
      <w:pPr>
        <w:pStyle w:val="FirstParagraph"/>
      </w:pPr>
      <w:r>
        <w:t>Reposition IO inside the organization as what it actually is:</w:t>
      </w:r>
    </w:p>
    <w:p w14:paraId="6628B84D" w14:textId="77777777" w:rsidR="00164692" w:rsidRDefault="0032627A">
      <w:pPr>
        <w:pStyle w:val="BlockText"/>
      </w:pPr>
      <w:r>
        <w:t>Cash-Flow Optimization Products.</w:t>
      </w:r>
    </w:p>
    <w:p w14:paraId="43334ADF" w14:textId="2A571FF1" w:rsidR="00164692" w:rsidRDefault="0032627A">
      <w:pPr>
        <w:pStyle w:val="FirstParagraph"/>
      </w:pPr>
      <w:r>
        <w:lastRenderedPageBreak/>
        <w:t>That label moves the internal conversation away from risk layering and toward borrower financial strategy, which is the conversation underwriters and capital markets need to be having anyway.</w:t>
      </w:r>
    </w:p>
    <w:p w14:paraId="21CC323E" w14:textId="6B7120B0" w:rsidR="00164692" w:rsidRDefault="0032627A">
      <w:pPr>
        <w:pStyle w:val="BodyText"/>
      </w:pPr>
      <w:r>
        <w:t>The discipline shows up in the credit box, not the headline. Strong reserve requirements, lower leverage parameters, high-credit borrower profiles, and demonstrated liquidity. Modern IO is a product for borrowers who don’t need it but want it for strategic reasons. The credit box has to keep it that way.</w:t>
      </w:r>
    </w:p>
    <w:p w14:paraId="52C7BE9A" w14:textId="77777777" w:rsidR="00164692" w:rsidRDefault="008E777A">
      <w:r>
        <w:rPr>
          <w:noProof/>
        </w:rPr>
      </w:r>
      <w:r>
        <w:pict w14:anchorId="6A78257D">
          <v:rect id="Horizontal Line 10" o:spid="_x0000_s1054"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3E80B03" w14:textId="77777777" w:rsidR="00164692" w:rsidRDefault="0032627A">
      <w:pPr>
        <w:pStyle w:val="Heading1"/>
      </w:pPr>
      <w:bookmarkStart w:id="21" w:name="c.-non-qm-as-mainstream-modern-credit"/>
      <w:bookmarkEnd w:id="20"/>
      <w:r>
        <w:t>C. Non-QM as Mainstream Modern Credit</w:t>
      </w:r>
    </w:p>
    <w:p w14:paraId="07FB4F9B" w14:textId="3DC10813" w:rsidR="00164692" w:rsidRDefault="0032627A">
      <w:pPr>
        <w:pStyle w:val="FirstParagraph"/>
      </w:pPr>
      <w:r>
        <w:t>Non-QM is no longer a niche corner of the market. A meaningful portion of economically strong borrowers no longer fit traditional agency qualification structures, and that portion grows every quarter. The product set should be designed accordingly: built around consistency, scalability, and repeatability rather than a long tail of one-off guideline permutations.</w:t>
      </w:r>
    </w:p>
    <w:p w14:paraId="00FBF32A" w14:textId="0C1A28FC" w:rsidR="00164692" w:rsidRDefault="0032627A">
      <w:pPr>
        <w:pStyle w:val="FirstParagraph"/>
      </w:pPr>
      <w:r>
        <w:t>Core product structures:</w:t>
      </w:r>
    </w:p>
    <w:p w14:paraId="5CAC5132" w14:textId="77777777" w:rsidR="00164692" w:rsidRDefault="0032627A">
      <w:pPr>
        <w:pStyle w:val="Compact"/>
        <w:numPr>
          <w:ilvl w:val="0"/>
          <w:numId w:val="34"/>
        </w:numPr>
      </w:pPr>
      <w:r>
        <w:t>Bank Statement Loans</w:t>
      </w:r>
    </w:p>
    <w:p w14:paraId="59B3DB2F" w14:textId="77777777" w:rsidR="00164692" w:rsidRDefault="0032627A">
      <w:pPr>
        <w:pStyle w:val="Compact"/>
        <w:numPr>
          <w:ilvl w:val="0"/>
          <w:numId w:val="34"/>
        </w:numPr>
      </w:pPr>
      <w:r>
        <w:t>DSCR Investor Loans</w:t>
      </w:r>
    </w:p>
    <w:p w14:paraId="63EC6E38" w14:textId="77777777" w:rsidR="00164692" w:rsidRDefault="0032627A">
      <w:pPr>
        <w:pStyle w:val="Compact"/>
        <w:numPr>
          <w:ilvl w:val="0"/>
          <w:numId w:val="34"/>
        </w:numPr>
      </w:pPr>
      <w:r>
        <w:t>Asset Qualification Loans</w:t>
      </w:r>
    </w:p>
    <w:p w14:paraId="004D3383" w14:textId="77777777" w:rsidR="00164692" w:rsidRDefault="0032627A">
      <w:pPr>
        <w:pStyle w:val="Compact"/>
        <w:numPr>
          <w:ilvl w:val="0"/>
          <w:numId w:val="34"/>
        </w:numPr>
      </w:pPr>
      <w:r>
        <w:t>Interest-Only Structures</w:t>
      </w:r>
    </w:p>
    <w:p w14:paraId="2CBDE1E9" w14:textId="77777777" w:rsidR="00164692" w:rsidRDefault="0032627A">
      <w:pPr>
        <w:pStyle w:val="Compact"/>
        <w:numPr>
          <w:ilvl w:val="0"/>
          <w:numId w:val="34"/>
        </w:numPr>
      </w:pPr>
      <w:r>
        <w:t>Expanded Prime Products</w:t>
      </w:r>
    </w:p>
    <w:p w14:paraId="0B907FC4" w14:textId="77777777" w:rsidR="00164692" w:rsidRDefault="0032627A">
      <w:pPr>
        <w:pStyle w:val="Compact"/>
        <w:numPr>
          <w:ilvl w:val="0"/>
          <w:numId w:val="34"/>
        </w:numPr>
      </w:pPr>
      <w:r>
        <w:t>Foreign National Programs</w:t>
      </w:r>
    </w:p>
    <w:p w14:paraId="41823514" w14:textId="77777777" w:rsidR="00164692" w:rsidRDefault="0032627A">
      <w:pPr>
        <w:pStyle w:val="Compact"/>
        <w:numPr>
          <w:ilvl w:val="0"/>
          <w:numId w:val="34"/>
        </w:numPr>
      </w:pPr>
      <w:r>
        <w:t>Jumbo Non-Agency Solutions</w:t>
      </w:r>
    </w:p>
    <w:p w14:paraId="3B3B26EB" w14:textId="62A3138D" w:rsidR="00164692" w:rsidRDefault="0032627A">
      <w:pPr>
        <w:pStyle w:val="FirstParagraph"/>
      </w:pPr>
      <w:r>
        <w:t>Guidelines should be designed around simplicity and operational clarity. The temptation in Non-QM is to chase every borrower scenario with a custom guideline overlay. Resist it. The lenders that win in this product set are the ones whose guidelines an underwriter can absorb in a single training session and whose investors can underwrite without a phone call.</w:t>
      </w:r>
    </w:p>
    <w:p w14:paraId="26F468CD" w14:textId="77777777" w:rsidR="00164692" w:rsidRDefault="008E777A">
      <w:r>
        <w:rPr>
          <w:noProof/>
        </w:rPr>
      </w:r>
      <w:r>
        <w:pict w14:anchorId="7417159F">
          <v:rect id="Horizontal Line 11" o:spid="_x0000_s105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96557D8" w14:textId="77777777" w:rsidR="00164692" w:rsidRDefault="0032627A">
      <w:pPr>
        <w:pStyle w:val="Heading1"/>
      </w:pPr>
      <w:bookmarkStart w:id="22" w:name="v.-operating-model-design"/>
      <w:bookmarkEnd w:id="21"/>
      <w:r>
        <w:t>V. Operating Model Design</w:t>
      </w:r>
    </w:p>
    <w:p w14:paraId="00000001" w14:textId="77777777" w:rsidR="00164692" w:rsidRDefault="0032627A">
      <w:pPr>
        <w:pStyle w:val="FirstParagraph"/>
      </w:pPr>
      <w:r>
        <w:t xml:space="preserve">Modern Prime Credit lives in two halves, and the design principles for each are deliberately different. The borrower-facing half gets simpler: faster decisioning, lighter documentation, fewer manual touchpoints, cleaner experience. The operating-model half, the part this section describes, gets more disciplined: dedicated governance, specialized leadership, tighter controls, sharper accountability. The complexity that used to live in the borrower’s </w:t>
      </w:r>
      <w:r>
        <w:lastRenderedPageBreak/>
        <w:t>file moves to where the credit officer can manage it. That trade is the whole point. Anywhere this paper calls for simplification, read it as front-end. Anywhere it calls for added structure, read it as back-end. Both are required.</w:t>
      </w:r>
    </w:p>
    <w:p w14:paraId="0FE7A501" w14:textId="77777777" w:rsidR="00164692" w:rsidRDefault="0032627A">
      <w:pPr>
        <w:pStyle w:val="Heading1"/>
      </w:pPr>
      <w:bookmarkStart w:id="23" w:name="avoid-the-agency-overlay-trap"/>
      <w:bookmarkEnd w:id="22"/>
      <w:r>
        <w:t>Avoid the “Agency Overlay” Trap</w:t>
      </w:r>
    </w:p>
    <w:p w14:paraId="44B1DF4B" w14:textId="0DC907D5" w:rsidR="00164692" w:rsidRDefault="0032627A">
      <w:pPr>
        <w:pStyle w:val="FirstParagraph"/>
      </w:pPr>
      <w:r>
        <w:t>Most agency lenders fail at Non-Agency expansion in the same way. They take new products and lay them on top of legacy agency operations. The result is predictable: excessive overlays, inconsistent underwriting decisions across files, slower turn times, higher defect rates, and customer experiences that fall short of what the new product was supposed to deliver.</w:t>
      </w:r>
    </w:p>
    <w:p w14:paraId="4055920D" w14:textId="58530809" w:rsidR="00164692" w:rsidRDefault="0032627A">
      <w:pPr>
        <w:pStyle w:val="FirstParagraph"/>
      </w:pPr>
      <w:r>
        <w:t>The alternative is to build something separate inside the same building:</w:t>
      </w:r>
    </w:p>
    <w:p w14:paraId="2DD0CC73" w14:textId="77777777" w:rsidR="00164692" w:rsidRDefault="0032627A">
      <w:pPr>
        <w:pStyle w:val="BlockText"/>
      </w:pPr>
      <w:r>
        <w:t>A Dedicated Modern Credit Operating Platform.</w:t>
      </w:r>
    </w:p>
    <w:p w14:paraId="3E401572" w14:textId="0468385F" w:rsidR="00164692" w:rsidRDefault="0032627A">
      <w:pPr>
        <w:pStyle w:val="FirstParagraph"/>
      </w:pPr>
      <w:r>
        <w:t>This isn’t a separate enterprise. It’s a dedicated discipline inside the existing one. What it does require: specialized governance, dedicated underwriting leadership, tailored workflows, modernized technology, and a credit philosophy that’s different from agency.</w:t>
      </w:r>
    </w:p>
    <w:p w14:paraId="3B837CB3" w14:textId="77777777" w:rsidR="00164692" w:rsidRDefault="0032627A">
      <w:pPr>
        <w:pStyle w:val="BodyText"/>
      </w:pPr>
      <w:r>
        <w:t>However, it does require:</w:t>
      </w:r>
    </w:p>
    <w:p w14:paraId="3E53A10A" w14:textId="77777777" w:rsidR="00164692" w:rsidRDefault="0032627A">
      <w:pPr>
        <w:pStyle w:val="Compact"/>
        <w:numPr>
          <w:ilvl w:val="0"/>
          <w:numId w:val="36"/>
        </w:numPr>
      </w:pPr>
      <w:r>
        <w:t>specialized governance,</w:t>
      </w:r>
    </w:p>
    <w:p w14:paraId="227E0648" w14:textId="77777777" w:rsidR="00164692" w:rsidRDefault="0032627A">
      <w:pPr>
        <w:pStyle w:val="FirstParagraph"/>
      </w:pPr>
      <w:r>
        <w:t>The optimal structure combines:</w:t>
      </w:r>
    </w:p>
    <w:p w14:paraId="57C3C4CF" w14:textId="77777777" w:rsidR="00164692" w:rsidRDefault="0032627A">
      <w:pPr>
        <w:pStyle w:val="Heading2"/>
      </w:pPr>
      <w:bookmarkStart w:id="24" w:name="centralized-governance"/>
      <w:r>
        <w:t>Centralized Governance</w:t>
      </w:r>
    </w:p>
    <w:p w14:paraId="0C620C13" w14:textId="77777777" w:rsidR="00164692" w:rsidRDefault="0032627A">
      <w:pPr>
        <w:pStyle w:val="FirstParagraph"/>
      </w:pPr>
      <w:r>
        <w:t>with</w:t>
      </w:r>
    </w:p>
    <w:p w14:paraId="2875E455" w14:textId="77777777" w:rsidR="00164692" w:rsidRDefault="0032627A">
      <w:pPr>
        <w:pStyle w:val="Heading2"/>
      </w:pPr>
      <w:bookmarkStart w:id="25" w:name="integrated-enterprise-distribution"/>
      <w:bookmarkEnd w:id="24"/>
      <w:r>
        <w:t>Integrated Enterprise Distribution</w:t>
      </w:r>
    </w:p>
    <w:p w14:paraId="4DC569E5" w14:textId="77777777" w:rsidR="00164692" w:rsidRDefault="0032627A">
      <w:pPr>
        <w:pStyle w:val="FirstParagraph"/>
      </w:pPr>
      <w:r>
        <w:t>This allows lenders to:</w:t>
      </w:r>
    </w:p>
    <w:p w14:paraId="297C47F1" w14:textId="77777777" w:rsidR="00164692" w:rsidRDefault="0032627A">
      <w:pPr>
        <w:pStyle w:val="Compact"/>
        <w:numPr>
          <w:ilvl w:val="0"/>
          <w:numId w:val="37"/>
        </w:numPr>
      </w:pPr>
      <w:r>
        <w:t>maintain enterprise alignment,</w:t>
      </w:r>
    </w:p>
    <w:p w14:paraId="1FE0A28C" w14:textId="77777777" w:rsidR="00164692" w:rsidRDefault="0032627A">
      <w:pPr>
        <w:pStyle w:val="Compact"/>
        <w:numPr>
          <w:ilvl w:val="0"/>
          <w:numId w:val="37"/>
        </w:numPr>
      </w:pPr>
      <w:r>
        <w:t>leverage existing sales infrastructure,</w:t>
      </w:r>
    </w:p>
    <w:p w14:paraId="07C89EF8" w14:textId="77777777" w:rsidR="00164692" w:rsidRDefault="0032627A">
      <w:pPr>
        <w:pStyle w:val="Compact"/>
        <w:numPr>
          <w:ilvl w:val="0"/>
          <w:numId w:val="37"/>
        </w:numPr>
      </w:pPr>
      <w:r>
        <w:t>preserve customer relationships,</w:t>
      </w:r>
    </w:p>
    <w:p w14:paraId="368735DC" w14:textId="77777777" w:rsidR="00164692" w:rsidRDefault="0032627A">
      <w:pPr>
        <w:pStyle w:val="Compact"/>
        <w:numPr>
          <w:ilvl w:val="0"/>
          <w:numId w:val="37"/>
        </w:numPr>
      </w:pPr>
      <w:r>
        <w:t>and create operational specialization simultaneously.</w:t>
      </w:r>
    </w:p>
    <w:p w14:paraId="7C2A0160" w14:textId="77777777" w:rsidR="00164692" w:rsidRDefault="008E777A">
      <w:r>
        <w:rPr>
          <w:noProof/>
        </w:rPr>
      </w:r>
      <w:r>
        <w:pict w14:anchorId="04EFB5D6">
          <v:rect id="Horizontal Line 12" o:spid="_x0000_s105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283B283" w14:textId="77777777" w:rsidR="00164692" w:rsidRDefault="0032627A">
      <w:pPr>
        <w:pStyle w:val="Heading1"/>
      </w:pPr>
      <w:bookmarkStart w:id="26" w:name="recommended-organizational-structure"/>
      <w:bookmarkEnd w:id="23"/>
      <w:bookmarkEnd w:id="25"/>
      <w:r>
        <w:t>Recommended Organizational Structure</w:t>
      </w:r>
    </w:p>
    <w:p w14:paraId="41644858" w14:textId="77777777" w:rsidR="00164692" w:rsidRDefault="0032627A">
      <w:pPr>
        <w:pStyle w:val="Heading2"/>
      </w:pPr>
      <w:bookmarkStart w:id="27" w:name="executive-steering-committee"/>
      <w:r>
        <w:t>Executive Steering Committee</w:t>
      </w:r>
    </w:p>
    <w:p w14:paraId="3F384271" w14:textId="77777777" w:rsidR="00164692" w:rsidRDefault="0032627A">
      <w:pPr>
        <w:pStyle w:val="FirstParagraph"/>
      </w:pPr>
      <w:r>
        <w:t>Responsible for:</w:t>
      </w:r>
    </w:p>
    <w:p w14:paraId="6C59C729" w14:textId="77777777" w:rsidR="00164692" w:rsidRDefault="0032627A">
      <w:pPr>
        <w:pStyle w:val="Compact"/>
        <w:numPr>
          <w:ilvl w:val="0"/>
          <w:numId w:val="38"/>
        </w:numPr>
      </w:pPr>
      <w:r>
        <w:lastRenderedPageBreak/>
        <w:t>strategic oversight,</w:t>
      </w:r>
    </w:p>
    <w:p w14:paraId="4B3A4F21" w14:textId="77777777" w:rsidR="00164692" w:rsidRDefault="0032627A">
      <w:pPr>
        <w:pStyle w:val="Compact"/>
        <w:numPr>
          <w:ilvl w:val="0"/>
          <w:numId w:val="38"/>
        </w:numPr>
      </w:pPr>
      <w:r>
        <w:t>risk governance,</w:t>
      </w:r>
    </w:p>
    <w:p w14:paraId="16FA79BC" w14:textId="77777777" w:rsidR="00164692" w:rsidRDefault="0032627A">
      <w:pPr>
        <w:pStyle w:val="Compact"/>
        <w:numPr>
          <w:ilvl w:val="0"/>
          <w:numId w:val="38"/>
        </w:numPr>
      </w:pPr>
      <w:r>
        <w:t>investor alignment,</w:t>
      </w:r>
    </w:p>
    <w:p w14:paraId="221CE57C" w14:textId="77777777" w:rsidR="00164692" w:rsidRDefault="0032627A">
      <w:pPr>
        <w:pStyle w:val="Compact"/>
        <w:numPr>
          <w:ilvl w:val="0"/>
          <w:numId w:val="38"/>
        </w:numPr>
      </w:pPr>
      <w:r>
        <w:t>and enterprise accountability.</w:t>
      </w:r>
    </w:p>
    <w:p w14:paraId="499C84C3" w14:textId="77777777" w:rsidR="00164692" w:rsidRDefault="0032627A">
      <w:pPr>
        <w:pStyle w:val="FirstParagraph"/>
      </w:pPr>
      <w:r>
        <w:t>Suggested participants:</w:t>
      </w:r>
    </w:p>
    <w:p w14:paraId="149E07F5" w14:textId="77777777" w:rsidR="00164692" w:rsidRDefault="0032627A">
      <w:pPr>
        <w:pStyle w:val="Compact"/>
        <w:numPr>
          <w:ilvl w:val="0"/>
          <w:numId w:val="39"/>
        </w:numPr>
      </w:pPr>
      <w:r>
        <w:t>CEO</w:t>
      </w:r>
    </w:p>
    <w:p w14:paraId="0DA3F0B0" w14:textId="77777777" w:rsidR="00164692" w:rsidRDefault="0032627A">
      <w:pPr>
        <w:pStyle w:val="Compact"/>
        <w:numPr>
          <w:ilvl w:val="0"/>
          <w:numId w:val="39"/>
        </w:numPr>
      </w:pPr>
      <w:r>
        <w:t>COO</w:t>
      </w:r>
    </w:p>
    <w:p w14:paraId="655549A1" w14:textId="77777777" w:rsidR="00164692" w:rsidRDefault="0032627A">
      <w:pPr>
        <w:pStyle w:val="Compact"/>
        <w:numPr>
          <w:ilvl w:val="0"/>
          <w:numId w:val="39"/>
        </w:numPr>
      </w:pPr>
      <w:r>
        <w:t>Chief Credit Officer</w:t>
      </w:r>
    </w:p>
    <w:p w14:paraId="13F6A073" w14:textId="77777777" w:rsidR="00164692" w:rsidRDefault="0032627A">
      <w:pPr>
        <w:pStyle w:val="Compact"/>
        <w:numPr>
          <w:ilvl w:val="0"/>
          <w:numId w:val="39"/>
        </w:numPr>
      </w:pPr>
      <w:r>
        <w:t>Head of Capital Markets</w:t>
      </w:r>
    </w:p>
    <w:p w14:paraId="77761206" w14:textId="77777777" w:rsidR="00164692" w:rsidRDefault="0032627A">
      <w:pPr>
        <w:pStyle w:val="Compact"/>
        <w:numPr>
          <w:ilvl w:val="0"/>
          <w:numId w:val="39"/>
        </w:numPr>
      </w:pPr>
      <w:r>
        <w:t>Head of Compliance</w:t>
      </w:r>
    </w:p>
    <w:p w14:paraId="079E5D81" w14:textId="77777777" w:rsidR="00164692" w:rsidRDefault="0032627A">
      <w:pPr>
        <w:pStyle w:val="Compact"/>
        <w:numPr>
          <w:ilvl w:val="0"/>
          <w:numId w:val="39"/>
        </w:numPr>
      </w:pPr>
      <w:r>
        <w:t>Head of Risk</w:t>
      </w:r>
    </w:p>
    <w:p w14:paraId="6175D1F0" w14:textId="77777777" w:rsidR="00164692" w:rsidRDefault="0032627A">
      <w:pPr>
        <w:pStyle w:val="Compact"/>
        <w:numPr>
          <w:ilvl w:val="0"/>
          <w:numId w:val="39"/>
        </w:numPr>
      </w:pPr>
      <w:r>
        <w:t>Head of Technology</w:t>
      </w:r>
    </w:p>
    <w:p w14:paraId="0003C73F" w14:textId="77777777" w:rsidR="00164692" w:rsidRDefault="0032627A">
      <w:pPr>
        <w:pStyle w:val="Compact"/>
        <w:numPr>
          <w:ilvl w:val="0"/>
          <w:numId w:val="39"/>
        </w:numPr>
      </w:pPr>
      <w:r>
        <w:t>Servicing Leadership</w:t>
      </w:r>
    </w:p>
    <w:p w14:paraId="2BFF744F" w14:textId="77777777" w:rsidR="00164692" w:rsidRDefault="008E777A">
      <w:r>
        <w:rPr>
          <w:noProof/>
        </w:rPr>
      </w:r>
      <w:r>
        <w:pict w14:anchorId="74858907">
          <v:rect id="Horizontal Line 13" o:spid="_x0000_s105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21DCBED" w14:textId="77777777" w:rsidR="00164692" w:rsidRDefault="0032627A">
      <w:pPr>
        <w:pStyle w:val="Heading2"/>
      </w:pPr>
      <w:bookmarkStart w:id="28" w:name="modern-credit-division"/>
      <w:bookmarkEnd w:id="27"/>
      <w:r>
        <w:t>Modern Credit Division</w:t>
      </w:r>
    </w:p>
    <w:p w14:paraId="4C250080" w14:textId="77777777" w:rsidR="00164692" w:rsidRDefault="0032627A">
      <w:pPr>
        <w:pStyle w:val="FirstParagraph"/>
      </w:pPr>
      <w:r>
        <w:t>Dedicated responsibilities include:</w:t>
      </w:r>
    </w:p>
    <w:p w14:paraId="429115F1" w14:textId="77777777" w:rsidR="00164692" w:rsidRDefault="0032627A">
      <w:pPr>
        <w:pStyle w:val="Compact"/>
        <w:numPr>
          <w:ilvl w:val="0"/>
          <w:numId w:val="40"/>
        </w:numPr>
      </w:pPr>
      <w:r>
        <w:t>product management,</w:t>
      </w:r>
    </w:p>
    <w:p w14:paraId="530392C5" w14:textId="77777777" w:rsidR="00164692" w:rsidRDefault="0032627A">
      <w:pPr>
        <w:pStyle w:val="Compact"/>
        <w:numPr>
          <w:ilvl w:val="0"/>
          <w:numId w:val="40"/>
        </w:numPr>
      </w:pPr>
      <w:r>
        <w:t>guideline governance,</w:t>
      </w:r>
    </w:p>
    <w:p w14:paraId="4B226FB3" w14:textId="77777777" w:rsidR="00164692" w:rsidRDefault="0032627A">
      <w:pPr>
        <w:pStyle w:val="Compact"/>
        <w:numPr>
          <w:ilvl w:val="0"/>
          <w:numId w:val="40"/>
        </w:numPr>
      </w:pPr>
      <w:r>
        <w:t>underwriting leadership,</w:t>
      </w:r>
    </w:p>
    <w:p w14:paraId="03240198" w14:textId="77777777" w:rsidR="00164692" w:rsidRDefault="0032627A">
      <w:pPr>
        <w:pStyle w:val="Compact"/>
        <w:numPr>
          <w:ilvl w:val="0"/>
          <w:numId w:val="40"/>
        </w:numPr>
      </w:pPr>
      <w:r>
        <w:t>operational optimization,</w:t>
      </w:r>
    </w:p>
    <w:p w14:paraId="175DD659" w14:textId="77777777" w:rsidR="00164692" w:rsidRDefault="0032627A">
      <w:pPr>
        <w:pStyle w:val="Compact"/>
        <w:numPr>
          <w:ilvl w:val="0"/>
          <w:numId w:val="40"/>
        </w:numPr>
      </w:pPr>
      <w:r>
        <w:t>secondary execution,</w:t>
      </w:r>
    </w:p>
    <w:p w14:paraId="05F4DBAC" w14:textId="77777777" w:rsidR="00164692" w:rsidRDefault="0032627A">
      <w:pPr>
        <w:pStyle w:val="Compact"/>
        <w:numPr>
          <w:ilvl w:val="0"/>
          <w:numId w:val="40"/>
        </w:numPr>
      </w:pPr>
      <w:r>
        <w:t>and analytics.</w:t>
      </w:r>
    </w:p>
    <w:p w14:paraId="1D9BF69B" w14:textId="77777777" w:rsidR="00164692" w:rsidRDefault="0032627A">
      <w:pPr>
        <w:pStyle w:val="FirstParagraph"/>
      </w:pPr>
      <w:r>
        <w:t>Key functional teams:</w:t>
      </w:r>
    </w:p>
    <w:p w14:paraId="035056BA" w14:textId="77777777" w:rsidR="00164692" w:rsidRDefault="0032627A">
      <w:pPr>
        <w:pStyle w:val="Compact"/>
        <w:numPr>
          <w:ilvl w:val="0"/>
          <w:numId w:val="41"/>
        </w:numPr>
      </w:pPr>
      <w:r>
        <w:t>Product Strategy</w:t>
      </w:r>
    </w:p>
    <w:p w14:paraId="3C1BDCCF" w14:textId="77777777" w:rsidR="00164692" w:rsidRDefault="0032627A">
      <w:pPr>
        <w:pStyle w:val="Compact"/>
        <w:numPr>
          <w:ilvl w:val="0"/>
          <w:numId w:val="41"/>
        </w:numPr>
      </w:pPr>
      <w:r>
        <w:t>Modern Credit Underwriting</w:t>
      </w:r>
    </w:p>
    <w:p w14:paraId="13F2D6BB" w14:textId="77777777" w:rsidR="00164692" w:rsidRDefault="0032627A">
      <w:pPr>
        <w:pStyle w:val="Compact"/>
        <w:numPr>
          <w:ilvl w:val="0"/>
          <w:numId w:val="41"/>
        </w:numPr>
      </w:pPr>
      <w:r>
        <w:t>Secondary Marketing</w:t>
      </w:r>
    </w:p>
    <w:p w14:paraId="66249321" w14:textId="77777777" w:rsidR="00164692" w:rsidRDefault="0032627A">
      <w:pPr>
        <w:pStyle w:val="Compact"/>
        <w:numPr>
          <w:ilvl w:val="0"/>
          <w:numId w:val="41"/>
        </w:numPr>
      </w:pPr>
      <w:r>
        <w:t>Quality Control</w:t>
      </w:r>
    </w:p>
    <w:p w14:paraId="242D58F8" w14:textId="77777777" w:rsidR="00164692" w:rsidRDefault="0032627A">
      <w:pPr>
        <w:pStyle w:val="Compact"/>
        <w:numPr>
          <w:ilvl w:val="0"/>
          <w:numId w:val="41"/>
        </w:numPr>
      </w:pPr>
      <w:r>
        <w:t>Fraud and Risk Analytics</w:t>
      </w:r>
    </w:p>
    <w:p w14:paraId="7ABADEDB" w14:textId="77777777" w:rsidR="00164692" w:rsidRDefault="0032627A">
      <w:pPr>
        <w:pStyle w:val="Compact"/>
        <w:numPr>
          <w:ilvl w:val="0"/>
          <w:numId w:val="41"/>
        </w:numPr>
      </w:pPr>
      <w:r>
        <w:t>Technology Integration</w:t>
      </w:r>
    </w:p>
    <w:p w14:paraId="6E0483AC" w14:textId="77777777" w:rsidR="00164692" w:rsidRDefault="0032627A">
      <w:pPr>
        <w:pStyle w:val="Compact"/>
        <w:numPr>
          <w:ilvl w:val="0"/>
          <w:numId w:val="41"/>
        </w:numPr>
      </w:pPr>
      <w:r>
        <w:t>Capital Markets Distribution</w:t>
      </w:r>
    </w:p>
    <w:p w14:paraId="3E3C50F3" w14:textId="77777777" w:rsidR="00164692" w:rsidRDefault="008E777A">
      <w:r>
        <w:rPr>
          <w:noProof/>
        </w:rPr>
      </w:r>
      <w:r>
        <w:pict w14:anchorId="6BEFF32E">
          <v:rect id="Horizontal Line 14" o:spid="_x0000_s105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AFA50AC" w14:textId="77777777" w:rsidR="00164692" w:rsidRDefault="0032627A">
      <w:pPr>
        <w:pStyle w:val="Heading1"/>
      </w:pPr>
      <w:bookmarkStart w:id="29" w:name="vi.-governance-and-risk-management"/>
      <w:bookmarkEnd w:id="26"/>
      <w:bookmarkEnd w:id="28"/>
      <w:r>
        <w:lastRenderedPageBreak/>
        <w:t>VI. Governance and Risk Management</w:t>
      </w:r>
    </w:p>
    <w:p w14:paraId="5FF59A85" w14:textId="6BFEFC67" w:rsidR="00164692" w:rsidRDefault="0032627A">
      <w:pPr>
        <w:pStyle w:val="FirstParagraph"/>
      </w:pPr>
      <w:r>
        <w:t>Modern Prime Credit lives or dies on governance discipline. The product set creates real opportunity, and it also creates real exposure. Mortgage origination has been fraudulent very quickly throughout its history, and the lender that builds anti-fraud capability into the platform from day one will outlast the lenders that bolt it on after a problem surfaces. Anti-fraud isn’t a compliance checkbox. It’s a competitive advantage.</w:t>
      </w:r>
    </w:p>
    <w:p w14:paraId="6C35B775" w14:textId="3025ECA3" w:rsidR="00164692" w:rsidRDefault="0032627A">
      <w:pPr>
        <w:pStyle w:val="BodyText"/>
      </w:pPr>
      <w:r>
        <w:t>The same logic applies to one-stop-shop temptations. The industry has tried vertical integration before. When it’s done well, it serves the customer; when it’s done too well, it creates incentives that pull originators toward behavior they’d never engage in if the products were sold separately. Modern Prime Credit governance has to anticipate that gravitational pull and build controls that hold up regardless of which way the regulatory winds are blowing.</w:t>
      </w:r>
    </w:p>
    <w:p w14:paraId="20645A38" w14:textId="77777777" w:rsidR="00164692" w:rsidRDefault="008E777A">
      <w:r>
        <w:rPr>
          <w:noProof/>
        </w:rPr>
      </w:r>
      <w:r>
        <w:pict w14:anchorId="5EA5DB25">
          <v:rect id="Horizontal Line 15" o:spid="_x0000_s104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4E5D715" w14:textId="77777777" w:rsidR="00164692" w:rsidRDefault="0032627A">
      <w:pPr>
        <w:pStyle w:val="Heading1"/>
      </w:pPr>
      <w:bookmarkStart w:id="30" w:name="a.-credit-governance"/>
      <w:bookmarkEnd w:id="29"/>
      <w:r>
        <w:t>A. Credit Governance</w:t>
      </w:r>
    </w:p>
    <w:p w14:paraId="40791812" w14:textId="77777777" w:rsidR="00164692" w:rsidRDefault="0032627A">
      <w:pPr>
        <w:pStyle w:val="FirstParagraph"/>
      </w:pPr>
      <w:r>
        <w:t>Core governance functions should monitor:</w:t>
      </w:r>
    </w:p>
    <w:p w14:paraId="009D4369" w14:textId="77777777" w:rsidR="00164692" w:rsidRDefault="0032627A">
      <w:pPr>
        <w:pStyle w:val="Compact"/>
        <w:numPr>
          <w:ilvl w:val="0"/>
          <w:numId w:val="42"/>
        </w:numPr>
      </w:pPr>
      <w:r>
        <w:t>delinquency trends,</w:t>
      </w:r>
    </w:p>
    <w:p w14:paraId="2C2FB098" w14:textId="77777777" w:rsidR="00164692" w:rsidRDefault="0032627A">
      <w:pPr>
        <w:pStyle w:val="Compact"/>
        <w:numPr>
          <w:ilvl w:val="0"/>
          <w:numId w:val="42"/>
        </w:numPr>
      </w:pPr>
      <w:r>
        <w:t>early payment defaults,</w:t>
      </w:r>
    </w:p>
    <w:p w14:paraId="3C967975" w14:textId="77777777" w:rsidR="00164692" w:rsidRDefault="0032627A">
      <w:pPr>
        <w:pStyle w:val="Compact"/>
        <w:numPr>
          <w:ilvl w:val="0"/>
          <w:numId w:val="42"/>
        </w:numPr>
      </w:pPr>
      <w:r>
        <w:t>severity trends,</w:t>
      </w:r>
    </w:p>
    <w:p w14:paraId="73BE525B" w14:textId="77777777" w:rsidR="00164692" w:rsidRDefault="0032627A">
      <w:pPr>
        <w:pStyle w:val="Compact"/>
        <w:numPr>
          <w:ilvl w:val="0"/>
          <w:numId w:val="42"/>
        </w:numPr>
      </w:pPr>
      <w:r>
        <w:t>fraud indicators,</w:t>
      </w:r>
    </w:p>
    <w:p w14:paraId="676A7547" w14:textId="77777777" w:rsidR="00164692" w:rsidRDefault="0032627A">
      <w:pPr>
        <w:pStyle w:val="Compact"/>
        <w:numPr>
          <w:ilvl w:val="0"/>
          <w:numId w:val="42"/>
        </w:numPr>
      </w:pPr>
      <w:r>
        <w:t>collateral deterioration,</w:t>
      </w:r>
    </w:p>
    <w:p w14:paraId="7A22072C" w14:textId="77777777" w:rsidR="00164692" w:rsidRDefault="0032627A">
      <w:pPr>
        <w:pStyle w:val="Compact"/>
        <w:numPr>
          <w:ilvl w:val="0"/>
          <w:numId w:val="42"/>
        </w:numPr>
      </w:pPr>
      <w:r>
        <w:t>concentration risk,</w:t>
      </w:r>
    </w:p>
    <w:p w14:paraId="067A0FC9" w14:textId="77777777" w:rsidR="00164692" w:rsidRDefault="0032627A">
      <w:pPr>
        <w:pStyle w:val="Compact"/>
        <w:numPr>
          <w:ilvl w:val="0"/>
          <w:numId w:val="42"/>
        </w:numPr>
      </w:pPr>
      <w:r>
        <w:t>and investor feedback.</w:t>
      </w:r>
    </w:p>
    <w:p w14:paraId="13BC3B9C" w14:textId="77777777" w:rsidR="00164692" w:rsidRDefault="0032627A">
      <w:pPr>
        <w:pStyle w:val="FirstParagraph"/>
      </w:pPr>
      <w:r>
        <w:t>Risk management frameworks should emphasize:</w:t>
      </w:r>
    </w:p>
    <w:p w14:paraId="37477BE1" w14:textId="77777777" w:rsidR="00164692" w:rsidRDefault="0032627A">
      <w:pPr>
        <w:pStyle w:val="Compact"/>
        <w:numPr>
          <w:ilvl w:val="0"/>
          <w:numId w:val="43"/>
        </w:numPr>
      </w:pPr>
      <w:r>
        <w:t>transparency,</w:t>
      </w:r>
    </w:p>
    <w:p w14:paraId="4C684705" w14:textId="77777777" w:rsidR="00164692" w:rsidRDefault="0032627A">
      <w:pPr>
        <w:pStyle w:val="Compact"/>
        <w:numPr>
          <w:ilvl w:val="0"/>
          <w:numId w:val="43"/>
        </w:numPr>
      </w:pPr>
      <w:r>
        <w:t>repeatability,</w:t>
      </w:r>
    </w:p>
    <w:p w14:paraId="57797450" w14:textId="77777777" w:rsidR="00164692" w:rsidRDefault="0032627A">
      <w:pPr>
        <w:pStyle w:val="Compact"/>
        <w:numPr>
          <w:ilvl w:val="0"/>
          <w:numId w:val="43"/>
        </w:numPr>
      </w:pPr>
      <w:r>
        <w:t>and consistency.</w:t>
      </w:r>
    </w:p>
    <w:p w14:paraId="697017AC" w14:textId="77777777" w:rsidR="00164692" w:rsidRDefault="0032627A">
      <w:pPr>
        <w:pStyle w:val="FirstParagraph"/>
      </w:pPr>
      <w:r>
        <w:t>Investors will tolerate expanded credit parameters.</w:t>
      </w:r>
    </w:p>
    <w:p w14:paraId="0C490FEF" w14:textId="77777777" w:rsidR="00164692" w:rsidRDefault="0032627A">
      <w:pPr>
        <w:pStyle w:val="BodyText"/>
      </w:pPr>
      <w:r>
        <w:t>They will not tolerate inconsistent execution.</w:t>
      </w:r>
    </w:p>
    <w:p w14:paraId="69F4ED42" w14:textId="77777777" w:rsidR="00164692" w:rsidRDefault="008E777A">
      <w:r>
        <w:rPr>
          <w:noProof/>
        </w:rPr>
      </w:r>
      <w:r>
        <w:pict w14:anchorId="660755D6">
          <v:rect id="Horizontal Line 16" o:spid="_x0000_s104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43EE7F9" w14:textId="77777777" w:rsidR="00164692" w:rsidRDefault="0032627A">
      <w:pPr>
        <w:pStyle w:val="Heading1"/>
      </w:pPr>
      <w:bookmarkStart w:id="31" w:name="b.-product-governance"/>
      <w:bookmarkEnd w:id="30"/>
      <w:r>
        <w:t>B. Product Governance</w:t>
      </w:r>
    </w:p>
    <w:p w14:paraId="2C5623FC" w14:textId="77777777" w:rsidR="00164692" w:rsidRDefault="0032627A">
      <w:pPr>
        <w:pStyle w:val="FirstParagraph"/>
      </w:pPr>
      <w:r>
        <w:t>Product governance committees should oversee:</w:t>
      </w:r>
    </w:p>
    <w:p w14:paraId="7FAF3D01" w14:textId="77777777" w:rsidR="00164692" w:rsidRDefault="0032627A">
      <w:pPr>
        <w:pStyle w:val="Compact"/>
        <w:numPr>
          <w:ilvl w:val="0"/>
          <w:numId w:val="44"/>
        </w:numPr>
      </w:pPr>
      <w:r>
        <w:lastRenderedPageBreak/>
        <w:t>guideline evolution,</w:t>
      </w:r>
    </w:p>
    <w:p w14:paraId="00C453FE" w14:textId="77777777" w:rsidR="00164692" w:rsidRDefault="0032627A">
      <w:pPr>
        <w:pStyle w:val="Compact"/>
        <w:numPr>
          <w:ilvl w:val="0"/>
          <w:numId w:val="44"/>
        </w:numPr>
      </w:pPr>
      <w:r>
        <w:t>new product approvals,</w:t>
      </w:r>
    </w:p>
    <w:p w14:paraId="06D6D7B9" w14:textId="77777777" w:rsidR="00164692" w:rsidRDefault="0032627A">
      <w:pPr>
        <w:pStyle w:val="Compact"/>
        <w:numPr>
          <w:ilvl w:val="0"/>
          <w:numId w:val="44"/>
        </w:numPr>
      </w:pPr>
      <w:r>
        <w:t>exception trends,</w:t>
      </w:r>
    </w:p>
    <w:p w14:paraId="7B1E7A45" w14:textId="77777777" w:rsidR="00164692" w:rsidRDefault="0032627A">
      <w:pPr>
        <w:pStyle w:val="Compact"/>
        <w:numPr>
          <w:ilvl w:val="0"/>
          <w:numId w:val="44"/>
        </w:numPr>
      </w:pPr>
      <w:r>
        <w:t>investor demand,</w:t>
      </w:r>
    </w:p>
    <w:p w14:paraId="5B4598E5" w14:textId="77777777" w:rsidR="00164692" w:rsidRDefault="0032627A">
      <w:pPr>
        <w:pStyle w:val="Compact"/>
        <w:numPr>
          <w:ilvl w:val="0"/>
          <w:numId w:val="44"/>
        </w:numPr>
      </w:pPr>
      <w:r>
        <w:t>and profitability analytics.</w:t>
      </w:r>
    </w:p>
    <w:p w14:paraId="180779F6" w14:textId="77777777" w:rsidR="00164692" w:rsidRDefault="0032627A">
      <w:pPr>
        <w:pStyle w:val="FirstParagraph"/>
      </w:pPr>
      <w:r>
        <w:t>The platform should be dynamic.</w:t>
      </w:r>
    </w:p>
    <w:p w14:paraId="71DE9400" w14:textId="77777777" w:rsidR="00164692" w:rsidRDefault="0032627A">
      <w:pPr>
        <w:pStyle w:val="BodyText"/>
      </w:pPr>
      <w:r>
        <w:t>Guidelines should evolve as:</w:t>
      </w:r>
    </w:p>
    <w:p w14:paraId="02E0C8B4" w14:textId="77777777" w:rsidR="00164692" w:rsidRDefault="0032627A">
      <w:pPr>
        <w:pStyle w:val="Compact"/>
        <w:numPr>
          <w:ilvl w:val="0"/>
          <w:numId w:val="45"/>
        </w:numPr>
      </w:pPr>
      <w:r>
        <w:t>market conditions change,</w:t>
      </w:r>
    </w:p>
    <w:p w14:paraId="048048E2" w14:textId="77777777" w:rsidR="00164692" w:rsidRDefault="0032627A">
      <w:pPr>
        <w:pStyle w:val="Compact"/>
        <w:numPr>
          <w:ilvl w:val="0"/>
          <w:numId w:val="45"/>
        </w:numPr>
      </w:pPr>
      <w:r>
        <w:t>investor appetite evolves,</w:t>
      </w:r>
    </w:p>
    <w:p w14:paraId="4878AF04" w14:textId="77777777" w:rsidR="00164692" w:rsidRDefault="0032627A">
      <w:pPr>
        <w:pStyle w:val="Compact"/>
        <w:numPr>
          <w:ilvl w:val="0"/>
          <w:numId w:val="45"/>
        </w:numPr>
      </w:pPr>
      <w:r>
        <w:t>and performance data matures.</w:t>
      </w:r>
    </w:p>
    <w:p w14:paraId="58DEFDAB" w14:textId="77777777" w:rsidR="00164692" w:rsidRDefault="008E777A">
      <w:r>
        <w:rPr>
          <w:noProof/>
        </w:rPr>
      </w:r>
      <w:r>
        <w:pict w14:anchorId="2B17B3B3">
          <v:rect id="Horizontal Line 17" o:spid="_x0000_s104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DB67DC8" w14:textId="77777777" w:rsidR="00164692" w:rsidRDefault="0032627A">
      <w:pPr>
        <w:pStyle w:val="Heading1"/>
      </w:pPr>
      <w:bookmarkStart w:id="32" w:name="c.-compliance-governance"/>
      <w:bookmarkEnd w:id="31"/>
      <w:r>
        <w:t>C. Compliance Governance</w:t>
      </w:r>
    </w:p>
    <w:p w14:paraId="5D045ABD" w14:textId="77777777" w:rsidR="00164692" w:rsidRDefault="0032627A">
      <w:pPr>
        <w:pStyle w:val="FirstParagraph"/>
      </w:pPr>
      <w:r>
        <w:t>Modern Non-Agency lending must maintain rigorous compliance standards.</w:t>
      </w:r>
    </w:p>
    <w:p w14:paraId="0B19F2E2" w14:textId="77777777" w:rsidR="00164692" w:rsidRDefault="0032627A">
      <w:pPr>
        <w:pStyle w:val="BodyText"/>
      </w:pPr>
      <w:r>
        <w:t>Critical areas include:</w:t>
      </w:r>
    </w:p>
    <w:p w14:paraId="7D8782FE" w14:textId="77777777" w:rsidR="00164692" w:rsidRDefault="0032627A">
      <w:pPr>
        <w:pStyle w:val="Compact"/>
        <w:numPr>
          <w:ilvl w:val="0"/>
          <w:numId w:val="46"/>
        </w:numPr>
      </w:pPr>
      <w:r>
        <w:t>ATR/QM compliance,</w:t>
      </w:r>
    </w:p>
    <w:p w14:paraId="52B941A2" w14:textId="77777777" w:rsidR="00164692" w:rsidRDefault="0032627A">
      <w:pPr>
        <w:pStyle w:val="Compact"/>
        <w:numPr>
          <w:ilvl w:val="0"/>
          <w:numId w:val="46"/>
        </w:numPr>
      </w:pPr>
      <w:r>
        <w:t>fair lending oversight,</w:t>
      </w:r>
    </w:p>
    <w:p w14:paraId="2817CB54" w14:textId="77777777" w:rsidR="00164692" w:rsidRDefault="0032627A">
      <w:pPr>
        <w:pStyle w:val="Compact"/>
        <w:numPr>
          <w:ilvl w:val="0"/>
          <w:numId w:val="46"/>
        </w:numPr>
      </w:pPr>
      <w:r>
        <w:t>valuation compliance,</w:t>
      </w:r>
    </w:p>
    <w:p w14:paraId="33E02970" w14:textId="77777777" w:rsidR="00164692" w:rsidRDefault="0032627A">
      <w:pPr>
        <w:pStyle w:val="Compact"/>
        <w:numPr>
          <w:ilvl w:val="0"/>
          <w:numId w:val="46"/>
        </w:numPr>
      </w:pPr>
      <w:r>
        <w:t>data governance,</w:t>
      </w:r>
    </w:p>
    <w:p w14:paraId="39A271F3" w14:textId="77777777" w:rsidR="00164692" w:rsidRDefault="0032627A">
      <w:pPr>
        <w:pStyle w:val="Compact"/>
        <w:numPr>
          <w:ilvl w:val="0"/>
          <w:numId w:val="46"/>
        </w:numPr>
      </w:pPr>
      <w:r>
        <w:t>anti-fraud controls,</w:t>
      </w:r>
    </w:p>
    <w:p w14:paraId="27FA3CF6" w14:textId="77777777" w:rsidR="00164692" w:rsidRDefault="0032627A">
      <w:pPr>
        <w:pStyle w:val="Compact"/>
        <w:numPr>
          <w:ilvl w:val="0"/>
          <w:numId w:val="46"/>
        </w:numPr>
      </w:pPr>
      <w:r>
        <w:t>and state regulatory adherence.</w:t>
      </w:r>
    </w:p>
    <w:p w14:paraId="4601805C" w14:textId="77777777" w:rsidR="00164692" w:rsidRDefault="0032627A">
      <w:pPr>
        <w:pStyle w:val="FirstParagraph"/>
      </w:pPr>
      <w:r>
        <w:t>Compliance should be integrated into product architecture from inception rather than layered onto operations later.</w:t>
      </w:r>
    </w:p>
    <w:p w14:paraId="42A61ED7" w14:textId="77777777" w:rsidR="00164692" w:rsidRDefault="008E777A">
      <w:r>
        <w:rPr>
          <w:noProof/>
        </w:rPr>
      </w:r>
      <w:r>
        <w:pict w14:anchorId="75AFCC87">
          <v:rect id="Horizontal Line 18" o:spid="_x0000_s104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9F9FAA4" w14:textId="77777777" w:rsidR="00164692" w:rsidRDefault="0032627A">
      <w:pPr>
        <w:pStyle w:val="Heading1"/>
      </w:pPr>
      <w:bookmarkStart w:id="33" w:name="vii.-technology-strategy"/>
      <w:bookmarkEnd w:id="32"/>
      <w:r>
        <w:t>VII. Technology Strategy</w:t>
      </w:r>
    </w:p>
    <w:p w14:paraId="06114BEF" w14:textId="77777777" w:rsidR="00164692" w:rsidRDefault="0032627A">
      <w:pPr>
        <w:pStyle w:val="FirstParagraph"/>
      </w:pPr>
      <w:r>
        <w:t>Technology is no longer an operational support function.</w:t>
      </w:r>
    </w:p>
    <w:p w14:paraId="609AC7F2" w14:textId="77777777" w:rsidR="00164692" w:rsidRDefault="0032627A">
      <w:pPr>
        <w:pStyle w:val="BodyText"/>
      </w:pPr>
      <w:r>
        <w:t>It is now a primary competitive differentiator.</w:t>
      </w:r>
    </w:p>
    <w:p w14:paraId="2CF56AA1" w14:textId="77777777" w:rsidR="00164692" w:rsidRDefault="0032627A">
      <w:pPr>
        <w:pStyle w:val="BodyText"/>
      </w:pPr>
      <w:r>
        <w:t>The next-generation Non-Agency platform should be built around automation, data integration, and configurable decisioning.</w:t>
      </w:r>
    </w:p>
    <w:p w14:paraId="5E08628D" w14:textId="77777777" w:rsidR="00164692" w:rsidRDefault="008E777A">
      <w:r>
        <w:rPr>
          <w:noProof/>
        </w:rPr>
      </w:r>
      <w:r>
        <w:pict w14:anchorId="6E71F84D">
          <v:rect id="Horizontal Line 19" o:spid="_x0000_s1045"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2B9A0AE" w14:textId="77777777" w:rsidR="00164692" w:rsidRDefault="0032627A">
      <w:pPr>
        <w:pStyle w:val="Heading1"/>
      </w:pPr>
      <w:bookmarkStart w:id="34" w:name="core-technology-requirements"/>
      <w:bookmarkEnd w:id="33"/>
      <w:r>
        <w:lastRenderedPageBreak/>
        <w:t>Core Technology Requirements</w:t>
      </w:r>
    </w:p>
    <w:p w14:paraId="2655E471" w14:textId="77777777" w:rsidR="00164692" w:rsidRDefault="0032627A">
      <w:pPr>
        <w:pStyle w:val="Heading2"/>
      </w:pPr>
      <w:bookmarkStart w:id="35" w:name="automated-income-analysis"/>
      <w:r>
        <w:t>Automated Income Analysis</w:t>
      </w:r>
    </w:p>
    <w:p w14:paraId="4829837E" w14:textId="77777777" w:rsidR="00164692" w:rsidRDefault="0032627A">
      <w:pPr>
        <w:pStyle w:val="FirstParagraph"/>
      </w:pPr>
      <w:r>
        <w:t>Capabilities should include:</w:t>
      </w:r>
    </w:p>
    <w:p w14:paraId="7BA64B57" w14:textId="77777777" w:rsidR="00164692" w:rsidRDefault="0032627A">
      <w:pPr>
        <w:pStyle w:val="Compact"/>
        <w:numPr>
          <w:ilvl w:val="0"/>
          <w:numId w:val="47"/>
        </w:numPr>
      </w:pPr>
      <w:r>
        <w:t>bank statement analytics,</w:t>
      </w:r>
    </w:p>
    <w:p w14:paraId="35A54F41" w14:textId="77777777" w:rsidR="00164692" w:rsidRDefault="0032627A">
      <w:pPr>
        <w:pStyle w:val="Compact"/>
        <w:numPr>
          <w:ilvl w:val="0"/>
          <w:numId w:val="47"/>
        </w:numPr>
      </w:pPr>
      <w:r>
        <w:t>payroll integrations,</w:t>
      </w:r>
    </w:p>
    <w:p w14:paraId="21DE33D3" w14:textId="77777777" w:rsidR="00164692" w:rsidRDefault="0032627A">
      <w:pPr>
        <w:pStyle w:val="Compact"/>
        <w:numPr>
          <w:ilvl w:val="0"/>
          <w:numId w:val="47"/>
        </w:numPr>
      </w:pPr>
      <w:r>
        <w:t>depository analysis,</w:t>
      </w:r>
    </w:p>
    <w:p w14:paraId="6476FCDE" w14:textId="77777777" w:rsidR="00164692" w:rsidRDefault="0032627A">
      <w:pPr>
        <w:pStyle w:val="Compact"/>
        <w:numPr>
          <w:ilvl w:val="0"/>
          <w:numId w:val="47"/>
        </w:numPr>
      </w:pPr>
      <w:r>
        <w:t>asset verification,</w:t>
      </w:r>
    </w:p>
    <w:p w14:paraId="43CFBAF9" w14:textId="77777777" w:rsidR="00164692" w:rsidRDefault="0032627A">
      <w:pPr>
        <w:pStyle w:val="Compact"/>
        <w:numPr>
          <w:ilvl w:val="0"/>
          <w:numId w:val="47"/>
        </w:numPr>
      </w:pPr>
      <w:r>
        <w:t>and cash-flow normalization.</w:t>
      </w:r>
    </w:p>
    <w:p w14:paraId="1344B2A2" w14:textId="77777777" w:rsidR="00164692" w:rsidRDefault="008E777A">
      <w:r>
        <w:rPr>
          <w:noProof/>
        </w:rPr>
      </w:r>
      <w:r>
        <w:pict w14:anchorId="5D8798CB">
          <v:rect id="Horizontal Line 20" o:spid="_x0000_s1044"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D85B1F7" w14:textId="77777777" w:rsidR="00164692" w:rsidRDefault="0032627A">
      <w:pPr>
        <w:pStyle w:val="Heading2"/>
      </w:pPr>
      <w:bookmarkStart w:id="36" w:name="dynamic-rules-engines"/>
      <w:bookmarkEnd w:id="35"/>
      <w:r>
        <w:t>Dynamic Rules Engines</w:t>
      </w:r>
    </w:p>
    <w:p w14:paraId="1D0924A7" w14:textId="77777777" w:rsidR="00164692" w:rsidRDefault="0032627A">
      <w:pPr>
        <w:pStyle w:val="FirstParagraph"/>
      </w:pPr>
      <w:r>
        <w:t>Static PDF guideline manuals are operationally obsolete.</w:t>
      </w:r>
    </w:p>
    <w:p w14:paraId="02CFDEEF" w14:textId="77777777" w:rsidR="00164692" w:rsidRDefault="0032627A">
      <w:pPr>
        <w:pStyle w:val="BodyText"/>
      </w:pPr>
      <w:r>
        <w:t>Modern platforms require:</w:t>
      </w:r>
    </w:p>
    <w:p w14:paraId="7BA81624" w14:textId="77777777" w:rsidR="00164692" w:rsidRDefault="0032627A">
      <w:pPr>
        <w:pStyle w:val="Compact"/>
        <w:numPr>
          <w:ilvl w:val="0"/>
          <w:numId w:val="48"/>
        </w:numPr>
      </w:pPr>
      <w:r>
        <w:t>configurable rule architecture,</w:t>
      </w:r>
    </w:p>
    <w:p w14:paraId="7A66606F" w14:textId="77777777" w:rsidR="00164692" w:rsidRDefault="0032627A">
      <w:pPr>
        <w:pStyle w:val="Compact"/>
        <w:numPr>
          <w:ilvl w:val="0"/>
          <w:numId w:val="48"/>
        </w:numPr>
      </w:pPr>
      <w:r>
        <w:t>centralized eligibility logic,</w:t>
      </w:r>
    </w:p>
    <w:p w14:paraId="448E6EBF" w14:textId="77777777" w:rsidR="00164692" w:rsidRDefault="0032627A">
      <w:pPr>
        <w:pStyle w:val="Compact"/>
        <w:numPr>
          <w:ilvl w:val="0"/>
          <w:numId w:val="48"/>
        </w:numPr>
      </w:pPr>
      <w:r>
        <w:t>automated conditions,</w:t>
      </w:r>
    </w:p>
    <w:p w14:paraId="273B68EF" w14:textId="77777777" w:rsidR="00164692" w:rsidRDefault="0032627A">
      <w:pPr>
        <w:pStyle w:val="Compact"/>
        <w:numPr>
          <w:ilvl w:val="0"/>
          <w:numId w:val="48"/>
        </w:numPr>
      </w:pPr>
      <w:r>
        <w:t>and real-time underwriting workflows.</w:t>
      </w:r>
    </w:p>
    <w:p w14:paraId="2D35609B" w14:textId="77777777" w:rsidR="00164692" w:rsidRDefault="008E777A">
      <w:r>
        <w:rPr>
          <w:noProof/>
        </w:rPr>
      </w:r>
      <w:r>
        <w:pict w14:anchorId="2FA73FE9">
          <v:rect id="Horizontal Line 21" o:spid="_x0000_s104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3C7F498" w14:textId="77777777" w:rsidR="00164692" w:rsidRDefault="0032627A">
      <w:pPr>
        <w:pStyle w:val="Heading2"/>
      </w:pPr>
      <w:bookmarkStart w:id="37" w:name="integrated-valuation-technology"/>
      <w:bookmarkEnd w:id="36"/>
      <w:r>
        <w:t>Integrated Valuation Technology</w:t>
      </w:r>
    </w:p>
    <w:p w14:paraId="58FF66B3" w14:textId="77777777" w:rsidR="00164692" w:rsidRDefault="0032627A">
      <w:pPr>
        <w:pStyle w:val="FirstParagraph"/>
      </w:pPr>
      <w:r>
        <w:t>Platforms should support:</w:t>
      </w:r>
    </w:p>
    <w:p w14:paraId="5913C80D" w14:textId="77777777" w:rsidR="00164692" w:rsidRDefault="0032627A">
      <w:pPr>
        <w:pStyle w:val="Compact"/>
        <w:numPr>
          <w:ilvl w:val="0"/>
          <w:numId w:val="49"/>
        </w:numPr>
      </w:pPr>
      <w:r>
        <w:t>AVM integrations,</w:t>
      </w:r>
    </w:p>
    <w:p w14:paraId="66EE918F" w14:textId="77777777" w:rsidR="00164692" w:rsidRDefault="0032627A">
      <w:pPr>
        <w:pStyle w:val="Compact"/>
        <w:numPr>
          <w:ilvl w:val="0"/>
          <w:numId w:val="49"/>
        </w:numPr>
      </w:pPr>
      <w:r>
        <w:t>collateral scoring,</w:t>
      </w:r>
    </w:p>
    <w:p w14:paraId="6952F7EF" w14:textId="77777777" w:rsidR="00164692" w:rsidRDefault="0032627A">
      <w:pPr>
        <w:pStyle w:val="Compact"/>
        <w:numPr>
          <w:ilvl w:val="0"/>
          <w:numId w:val="49"/>
        </w:numPr>
      </w:pPr>
      <w:r>
        <w:t>fraud analytics,</w:t>
      </w:r>
    </w:p>
    <w:p w14:paraId="2EFE75A0" w14:textId="77777777" w:rsidR="00164692" w:rsidRDefault="0032627A">
      <w:pPr>
        <w:pStyle w:val="Compact"/>
        <w:numPr>
          <w:ilvl w:val="0"/>
          <w:numId w:val="49"/>
        </w:numPr>
      </w:pPr>
      <w:r>
        <w:t>and market risk monitoring.</w:t>
      </w:r>
    </w:p>
    <w:p w14:paraId="72F340E1" w14:textId="77777777" w:rsidR="00164692" w:rsidRDefault="008E777A">
      <w:r>
        <w:rPr>
          <w:noProof/>
        </w:rPr>
      </w:r>
      <w:r>
        <w:pict w14:anchorId="6D8AA92B">
          <v:rect id="Horizontal Line 22" o:spid="_x0000_s104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90CFC0F" w14:textId="77777777" w:rsidR="00164692" w:rsidRDefault="0032627A">
      <w:pPr>
        <w:pStyle w:val="Heading2"/>
      </w:pPr>
      <w:bookmarkStart w:id="38" w:name="borrower-experience-modernization"/>
      <w:bookmarkEnd w:id="37"/>
      <w:r>
        <w:t>Borrower Experience Modernization</w:t>
      </w:r>
    </w:p>
    <w:p w14:paraId="022EC31D" w14:textId="77777777" w:rsidR="00164692" w:rsidRDefault="0032627A">
      <w:pPr>
        <w:pStyle w:val="FirstParagraph"/>
      </w:pPr>
      <w:r>
        <w:t>Consumers increasingly expect:</w:t>
      </w:r>
    </w:p>
    <w:p w14:paraId="56FFE628" w14:textId="77777777" w:rsidR="00164692" w:rsidRDefault="0032627A">
      <w:pPr>
        <w:pStyle w:val="Compact"/>
        <w:numPr>
          <w:ilvl w:val="0"/>
          <w:numId w:val="50"/>
        </w:numPr>
      </w:pPr>
      <w:r>
        <w:t>digital applications,</w:t>
      </w:r>
    </w:p>
    <w:p w14:paraId="322D7655" w14:textId="77777777" w:rsidR="00164692" w:rsidRDefault="0032627A">
      <w:pPr>
        <w:pStyle w:val="Compact"/>
        <w:numPr>
          <w:ilvl w:val="0"/>
          <w:numId w:val="50"/>
        </w:numPr>
      </w:pPr>
      <w:r>
        <w:t>streamlined documentation,</w:t>
      </w:r>
    </w:p>
    <w:p w14:paraId="152177A5" w14:textId="77777777" w:rsidR="00164692" w:rsidRDefault="0032627A">
      <w:pPr>
        <w:pStyle w:val="Compact"/>
        <w:numPr>
          <w:ilvl w:val="0"/>
          <w:numId w:val="50"/>
        </w:numPr>
      </w:pPr>
      <w:r>
        <w:t>automated verification,</w:t>
      </w:r>
    </w:p>
    <w:p w14:paraId="3FF7A379" w14:textId="77777777" w:rsidR="00164692" w:rsidRDefault="0032627A">
      <w:pPr>
        <w:pStyle w:val="Compact"/>
        <w:numPr>
          <w:ilvl w:val="0"/>
          <w:numId w:val="50"/>
        </w:numPr>
      </w:pPr>
      <w:r>
        <w:t>and rapid communication.</w:t>
      </w:r>
    </w:p>
    <w:p w14:paraId="1A472B15" w14:textId="3897C2E9" w:rsidR="00164692" w:rsidRDefault="0032627A">
      <w:pPr>
        <w:pStyle w:val="FirstParagraph"/>
      </w:pPr>
      <w:r>
        <w:lastRenderedPageBreak/>
        <w:t>The technology decisions that matter aren’t about which vendors to license. They’re about how the pieces fit together. In a world of sameness, where most lenders are running the same loan origination system on top of the same agency rules with the same investor outlets, differentiation comes from coherence. The real trick is gluing it all together into something the borrower experiences as a single product. Modern Prime Credit platforms win at the point of sale, or they don’t win at all.</w:t>
      </w:r>
    </w:p>
    <w:p w14:paraId="374C7B1A" w14:textId="77777777" w:rsidR="00164692" w:rsidRDefault="008E777A">
      <w:r>
        <w:rPr>
          <w:noProof/>
        </w:rPr>
      </w:r>
      <w:r>
        <w:pict w14:anchorId="75E6F083">
          <v:rect id="Horizontal Line 23" o:spid="_x0000_s104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C1B7050" w14:textId="77777777" w:rsidR="00164692" w:rsidRDefault="0032627A">
      <w:pPr>
        <w:pStyle w:val="Heading1"/>
      </w:pPr>
      <w:bookmarkStart w:id="39" w:name="viii.-capital-markets-strategy"/>
      <w:bookmarkEnd w:id="34"/>
      <w:bookmarkEnd w:id="38"/>
      <w:r>
        <w:t>VIII. Capital Markets Strategy</w:t>
      </w:r>
    </w:p>
    <w:p w14:paraId="13B054B4" w14:textId="77777777" w:rsidR="00164692" w:rsidRDefault="0032627A">
      <w:pPr>
        <w:pStyle w:val="FirstParagraph"/>
      </w:pPr>
      <w:r>
        <w:t>Many lenders underestimate the importance of capital markets alignment during Non-Agency platform development.</w:t>
      </w:r>
    </w:p>
    <w:p w14:paraId="6EAE343C" w14:textId="77777777" w:rsidR="00164692" w:rsidRDefault="0032627A">
      <w:pPr>
        <w:pStyle w:val="BodyText"/>
      </w:pPr>
      <w:r>
        <w:t>Successful execution requires products that are:</w:t>
      </w:r>
    </w:p>
    <w:p w14:paraId="2C16E081" w14:textId="77777777" w:rsidR="00164692" w:rsidRDefault="0032627A">
      <w:pPr>
        <w:pStyle w:val="Compact"/>
        <w:numPr>
          <w:ilvl w:val="0"/>
          <w:numId w:val="51"/>
        </w:numPr>
      </w:pPr>
      <w:r>
        <w:t>transparent,</w:t>
      </w:r>
    </w:p>
    <w:p w14:paraId="04AF6E56" w14:textId="77777777" w:rsidR="00164692" w:rsidRDefault="0032627A">
      <w:pPr>
        <w:pStyle w:val="Compact"/>
        <w:numPr>
          <w:ilvl w:val="0"/>
          <w:numId w:val="51"/>
        </w:numPr>
      </w:pPr>
      <w:r>
        <w:t>consistent,</w:t>
      </w:r>
    </w:p>
    <w:p w14:paraId="592898EE" w14:textId="77777777" w:rsidR="00164692" w:rsidRDefault="0032627A">
      <w:pPr>
        <w:pStyle w:val="Compact"/>
        <w:numPr>
          <w:ilvl w:val="0"/>
          <w:numId w:val="51"/>
        </w:numPr>
      </w:pPr>
      <w:r>
        <w:t>scalable,</w:t>
      </w:r>
    </w:p>
    <w:p w14:paraId="057FCB70" w14:textId="77777777" w:rsidR="00164692" w:rsidRDefault="0032627A">
      <w:pPr>
        <w:pStyle w:val="Compact"/>
        <w:numPr>
          <w:ilvl w:val="0"/>
          <w:numId w:val="51"/>
        </w:numPr>
      </w:pPr>
      <w:r>
        <w:t>and investor-friendly.</w:t>
      </w:r>
    </w:p>
    <w:p w14:paraId="12AC4D86" w14:textId="77777777" w:rsidR="00164692" w:rsidRDefault="0032627A">
      <w:pPr>
        <w:pStyle w:val="FirstParagraph"/>
      </w:pPr>
      <w:r>
        <w:t>Dallas Capital recommends designing the platform from inception around:</w:t>
      </w:r>
    </w:p>
    <w:p w14:paraId="7726CC3E" w14:textId="77777777" w:rsidR="00164692" w:rsidRDefault="0032627A">
      <w:pPr>
        <w:pStyle w:val="Compact"/>
        <w:numPr>
          <w:ilvl w:val="0"/>
          <w:numId w:val="52"/>
        </w:numPr>
      </w:pPr>
      <w:r>
        <w:t>securitization readiness,</w:t>
      </w:r>
    </w:p>
    <w:p w14:paraId="26765A11" w14:textId="77777777" w:rsidR="00164692" w:rsidRDefault="0032627A">
      <w:pPr>
        <w:pStyle w:val="Compact"/>
        <w:numPr>
          <w:ilvl w:val="0"/>
          <w:numId w:val="52"/>
        </w:numPr>
      </w:pPr>
      <w:r>
        <w:t>correspondent scalability,</w:t>
      </w:r>
    </w:p>
    <w:p w14:paraId="2569F51A" w14:textId="77777777" w:rsidR="00164692" w:rsidRDefault="0032627A">
      <w:pPr>
        <w:pStyle w:val="Compact"/>
        <w:numPr>
          <w:ilvl w:val="0"/>
          <w:numId w:val="52"/>
        </w:numPr>
      </w:pPr>
      <w:r>
        <w:t>and institutional investor confidence.</w:t>
      </w:r>
    </w:p>
    <w:p w14:paraId="6CEC9F63" w14:textId="77777777" w:rsidR="00164692" w:rsidRDefault="008E777A">
      <w:r>
        <w:rPr>
          <w:noProof/>
        </w:rPr>
      </w:r>
      <w:r>
        <w:pict w14:anchorId="12545251">
          <v:rect id="Horizontal Line 24" o:spid="_x0000_s104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CAB9AF7" w14:textId="77777777" w:rsidR="00164692" w:rsidRDefault="0032627A">
      <w:pPr>
        <w:pStyle w:val="Heading1"/>
      </w:pPr>
      <w:bookmarkStart w:id="40" w:name="key-capital-markets-principles"/>
      <w:bookmarkEnd w:id="39"/>
      <w:r>
        <w:t>Key Capital Markets Principles</w:t>
      </w:r>
    </w:p>
    <w:p w14:paraId="6E64D543" w14:textId="77777777" w:rsidR="00164692" w:rsidRDefault="0032627A">
      <w:pPr>
        <w:pStyle w:val="Heading2"/>
      </w:pPr>
      <w:bookmarkStart w:id="41" w:name="standardization"/>
      <w:r>
        <w:t>Standardization</w:t>
      </w:r>
    </w:p>
    <w:p w14:paraId="2D565BE2" w14:textId="77777777" w:rsidR="00164692" w:rsidRDefault="0032627A">
      <w:pPr>
        <w:pStyle w:val="FirstParagraph"/>
      </w:pPr>
      <w:r>
        <w:t>Excessive guideline permutations weaken liquidity and execution quality.</w:t>
      </w:r>
    </w:p>
    <w:p w14:paraId="650FC032" w14:textId="77777777" w:rsidR="00164692" w:rsidRDefault="0032627A">
      <w:pPr>
        <w:pStyle w:val="BodyText"/>
      </w:pPr>
      <w:r>
        <w:t>The platform should prioritize:</w:t>
      </w:r>
    </w:p>
    <w:p w14:paraId="284D28DD" w14:textId="77777777" w:rsidR="00164692" w:rsidRDefault="0032627A">
      <w:pPr>
        <w:pStyle w:val="Compact"/>
        <w:numPr>
          <w:ilvl w:val="0"/>
          <w:numId w:val="53"/>
        </w:numPr>
      </w:pPr>
      <w:r>
        <w:t>clean credit policy,</w:t>
      </w:r>
    </w:p>
    <w:p w14:paraId="332572F0" w14:textId="77777777" w:rsidR="00164692" w:rsidRDefault="0032627A">
      <w:pPr>
        <w:pStyle w:val="Compact"/>
        <w:numPr>
          <w:ilvl w:val="0"/>
          <w:numId w:val="53"/>
        </w:numPr>
      </w:pPr>
      <w:r>
        <w:t>repeatable underwriting,</w:t>
      </w:r>
    </w:p>
    <w:p w14:paraId="3EB7340F" w14:textId="77777777" w:rsidR="00164692" w:rsidRDefault="0032627A">
      <w:pPr>
        <w:pStyle w:val="Compact"/>
        <w:numPr>
          <w:ilvl w:val="0"/>
          <w:numId w:val="53"/>
        </w:numPr>
      </w:pPr>
      <w:r>
        <w:t>and standardized delivery.</w:t>
      </w:r>
    </w:p>
    <w:p w14:paraId="1554F93F" w14:textId="77777777" w:rsidR="00164692" w:rsidRDefault="008E777A">
      <w:r>
        <w:rPr>
          <w:noProof/>
        </w:rPr>
      </w:r>
      <w:r>
        <w:pict w14:anchorId="46849D09">
          <v:rect id="Horizontal Line 25" o:spid="_x0000_s103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7EA9889" w14:textId="77777777" w:rsidR="00164692" w:rsidRDefault="0032627A">
      <w:pPr>
        <w:pStyle w:val="Heading2"/>
      </w:pPr>
      <w:bookmarkStart w:id="42" w:name="data-integrity"/>
      <w:bookmarkEnd w:id="41"/>
      <w:r>
        <w:t>Data Integrity</w:t>
      </w:r>
    </w:p>
    <w:p w14:paraId="7DEAB7E0" w14:textId="77777777" w:rsidR="00164692" w:rsidRDefault="0032627A">
      <w:pPr>
        <w:pStyle w:val="FirstParagraph"/>
      </w:pPr>
      <w:r>
        <w:t>Institutional investors increasingly prioritize:</w:t>
      </w:r>
    </w:p>
    <w:p w14:paraId="309D132C" w14:textId="77777777" w:rsidR="00164692" w:rsidRDefault="0032627A">
      <w:pPr>
        <w:pStyle w:val="Compact"/>
        <w:numPr>
          <w:ilvl w:val="0"/>
          <w:numId w:val="54"/>
        </w:numPr>
      </w:pPr>
      <w:r>
        <w:lastRenderedPageBreak/>
        <w:t>clean loan-level data,</w:t>
      </w:r>
    </w:p>
    <w:p w14:paraId="14F55022" w14:textId="77777777" w:rsidR="00164692" w:rsidRDefault="0032627A">
      <w:pPr>
        <w:pStyle w:val="Compact"/>
        <w:numPr>
          <w:ilvl w:val="0"/>
          <w:numId w:val="54"/>
        </w:numPr>
      </w:pPr>
      <w:r>
        <w:t>income validation consistency,</w:t>
      </w:r>
    </w:p>
    <w:p w14:paraId="220FF754" w14:textId="77777777" w:rsidR="00164692" w:rsidRDefault="0032627A">
      <w:pPr>
        <w:pStyle w:val="Compact"/>
        <w:numPr>
          <w:ilvl w:val="0"/>
          <w:numId w:val="54"/>
        </w:numPr>
      </w:pPr>
      <w:r>
        <w:t>collateral transparency,</w:t>
      </w:r>
    </w:p>
    <w:p w14:paraId="59901639" w14:textId="77777777" w:rsidR="00164692" w:rsidRDefault="0032627A">
      <w:pPr>
        <w:pStyle w:val="Compact"/>
        <w:numPr>
          <w:ilvl w:val="0"/>
          <w:numId w:val="54"/>
        </w:numPr>
      </w:pPr>
      <w:r>
        <w:t>and operational controls.</w:t>
      </w:r>
    </w:p>
    <w:p w14:paraId="07B17834" w14:textId="77777777" w:rsidR="00164692" w:rsidRDefault="0032627A">
      <w:pPr>
        <w:pStyle w:val="FirstParagraph"/>
      </w:pPr>
      <w:r>
        <w:t>Technology architecture and QC processes should support institutional-grade reporting and auditability.</w:t>
      </w:r>
    </w:p>
    <w:p w14:paraId="3E5D2128" w14:textId="77777777" w:rsidR="00164692" w:rsidRDefault="008E777A">
      <w:r>
        <w:rPr>
          <w:noProof/>
        </w:rPr>
      </w:r>
      <w:r>
        <w:pict w14:anchorId="56FB5A6A">
          <v:rect id="Horizontal Line 26" o:spid="_x0000_s103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5CDD333" w14:textId="77777777" w:rsidR="00164692" w:rsidRDefault="0032627A">
      <w:pPr>
        <w:pStyle w:val="Heading2"/>
      </w:pPr>
      <w:bookmarkStart w:id="43" w:name="investor-diversification"/>
      <w:bookmarkEnd w:id="42"/>
      <w:r>
        <w:t>Investor Diversification</w:t>
      </w:r>
    </w:p>
    <w:p w14:paraId="142C12F0" w14:textId="77777777" w:rsidR="00164692" w:rsidRDefault="0032627A">
      <w:pPr>
        <w:pStyle w:val="FirstParagraph"/>
      </w:pPr>
      <w:r>
        <w:t>Lenders should avoid overdependence on any single execution outlet.</w:t>
      </w:r>
    </w:p>
    <w:p w14:paraId="79DF38A2" w14:textId="77777777" w:rsidR="00164692" w:rsidRDefault="0032627A">
      <w:pPr>
        <w:pStyle w:val="BodyText"/>
      </w:pPr>
      <w:r>
        <w:t>Strategic objectives should include:</w:t>
      </w:r>
    </w:p>
    <w:p w14:paraId="038C8894" w14:textId="77777777" w:rsidR="00164692" w:rsidRDefault="0032627A">
      <w:pPr>
        <w:pStyle w:val="Compact"/>
        <w:numPr>
          <w:ilvl w:val="0"/>
          <w:numId w:val="55"/>
        </w:numPr>
      </w:pPr>
      <w:r>
        <w:t>correspondent expansion,</w:t>
      </w:r>
    </w:p>
    <w:p w14:paraId="416054A1" w14:textId="77777777" w:rsidR="00164692" w:rsidRDefault="0032627A">
      <w:pPr>
        <w:pStyle w:val="Compact"/>
        <w:numPr>
          <w:ilvl w:val="0"/>
          <w:numId w:val="55"/>
        </w:numPr>
      </w:pPr>
      <w:r>
        <w:t>securitization readiness,</w:t>
      </w:r>
    </w:p>
    <w:p w14:paraId="279B8D8A" w14:textId="77777777" w:rsidR="00164692" w:rsidRDefault="0032627A">
      <w:pPr>
        <w:pStyle w:val="Compact"/>
        <w:numPr>
          <w:ilvl w:val="0"/>
          <w:numId w:val="55"/>
        </w:numPr>
      </w:pPr>
      <w:r>
        <w:t>and diversified investor relationships.</w:t>
      </w:r>
    </w:p>
    <w:p w14:paraId="1591B3F0" w14:textId="77777777" w:rsidR="00164692" w:rsidRDefault="008E777A">
      <w:r>
        <w:rPr>
          <w:noProof/>
        </w:rPr>
      </w:r>
      <w:r>
        <w:pict w14:anchorId="6850B6E6">
          <v:rect id="Horizontal Line 27" o:spid="_x0000_s103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11B0B8A2" w14:textId="77777777" w:rsidR="00164692" w:rsidRDefault="0032627A">
      <w:pPr>
        <w:pStyle w:val="Heading1"/>
      </w:pPr>
      <w:bookmarkStart w:id="44" w:name="ix.-organizational-transformation"/>
      <w:bookmarkEnd w:id="40"/>
      <w:bookmarkEnd w:id="43"/>
      <w:r>
        <w:t>IX. Organizational Transformation</w:t>
      </w:r>
    </w:p>
    <w:p w14:paraId="43A7EC67" w14:textId="77777777" w:rsidR="00164692" w:rsidRDefault="0032627A">
      <w:pPr>
        <w:pStyle w:val="FirstParagraph"/>
      </w:pPr>
      <w:r>
        <w:t>The transition from agency manufacturing to modern credit execution is ultimately a cultural transformation.</w:t>
      </w:r>
    </w:p>
    <w:p w14:paraId="1C25052F" w14:textId="77777777" w:rsidR="00164692" w:rsidRDefault="0032627A">
      <w:pPr>
        <w:pStyle w:val="BodyText"/>
      </w:pPr>
      <w:r>
        <w:t>Agency organizations are conditioned to:</w:t>
      </w:r>
    </w:p>
    <w:p w14:paraId="5344A6C7" w14:textId="77777777" w:rsidR="00164692" w:rsidRDefault="0032627A">
      <w:pPr>
        <w:pStyle w:val="Compact"/>
        <w:numPr>
          <w:ilvl w:val="0"/>
          <w:numId w:val="56"/>
        </w:numPr>
      </w:pPr>
      <w:r>
        <w:t>follow AUS findings,</w:t>
      </w:r>
    </w:p>
    <w:p w14:paraId="0BBEFDCF" w14:textId="77777777" w:rsidR="00164692" w:rsidRDefault="0032627A">
      <w:pPr>
        <w:pStyle w:val="Compact"/>
        <w:numPr>
          <w:ilvl w:val="0"/>
          <w:numId w:val="56"/>
        </w:numPr>
      </w:pPr>
      <w:r>
        <w:t>minimize judgment,</w:t>
      </w:r>
    </w:p>
    <w:p w14:paraId="391B95B0" w14:textId="77777777" w:rsidR="00164692" w:rsidRDefault="0032627A">
      <w:pPr>
        <w:pStyle w:val="Compact"/>
        <w:numPr>
          <w:ilvl w:val="0"/>
          <w:numId w:val="56"/>
        </w:numPr>
      </w:pPr>
      <w:r>
        <w:t>avoid exceptions,</w:t>
      </w:r>
    </w:p>
    <w:p w14:paraId="724A5035" w14:textId="77777777" w:rsidR="00164692" w:rsidRDefault="0032627A">
      <w:pPr>
        <w:pStyle w:val="Compact"/>
        <w:numPr>
          <w:ilvl w:val="0"/>
          <w:numId w:val="56"/>
        </w:numPr>
      </w:pPr>
      <w:r>
        <w:t>and prioritize procedural compliance.</w:t>
      </w:r>
    </w:p>
    <w:p w14:paraId="27F40834" w14:textId="77777777" w:rsidR="00164692" w:rsidRDefault="0032627A">
      <w:pPr>
        <w:pStyle w:val="FirstParagraph"/>
      </w:pPr>
      <w:r>
        <w:t>Modern Non-Agency lending requires:</w:t>
      </w:r>
    </w:p>
    <w:p w14:paraId="57EB6B9C" w14:textId="77777777" w:rsidR="00164692" w:rsidRDefault="0032627A">
      <w:pPr>
        <w:pStyle w:val="Compact"/>
        <w:numPr>
          <w:ilvl w:val="0"/>
          <w:numId w:val="57"/>
        </w:numPr>
      </w:pPr>
      <w:r>
        <w:t>analytical judgment,</w:t>
      </w:r>
    </w:p>
    <w:p w14:paraId="7D8C2CC4" w14:textId="77777777" w:rsidR="00164692" w:rsidRDefault="0032627A">
      <w:pPr>
        <w:pStyle w:val="Compact"/>
        <w:numPr>
          <w:ilvl w:val="0"/>
          <w:numId w:val="57"/>
        </w:numPr>
      </w:pPr>
      <w:r>
        <w:t>cash-flow interpretation,</w:t>
      </w:r>
    </w:p>
    <w:p w14:paraId="059E4707" w14:textId="77777777" w:rsidR="00164692" w:rsidRDefault="0032627A">
      <w:pPr>
        <w:pStyle w:val="Compact"/>
        <w:numPr>
          <w:ilvl w:val="0"/>
          <w:numId w:val="57"/>
        </w:numPr>
      </w:pPr>
      <w:r>
        <w:t>liquidity assessment,</w:t>
      </w:r>
    </w:p>
    <w:p w14:paraId="241799B5" w14:textId="77777777" w:rsidR="00164692" w:rsidRDefault="0032627A">
      <w:pPr>
        <w:pStyle w:val="Compact"/>
        <w:numPr>
          <w:ilvl w:val="0"/>
          <w:numId w:val="57"/>
        </w:numPr>
      </w:pPr>
      <w:r>
        <w:t>and borrower narrative evaluation.</w:t>
      </w:r>
    </w:p>
    <w:p w14:paraId="38707724" w14:textId="77777777" w:rsidR="00164692" w:rsidRDefault="0032627A">
      <w:pPr>
        <w:pStyle w:val="FirstParagraph"/>
      </w:pPr>
      <w:r>
        <w:t>This represents a major organizational shift.</w:t>
      </w:r>
    </w:p>
    <w:p w14:paraId="4D97775E" w14:textId="77777777" w:rsidR="00164692" w:rsidRDefault="008E777A">
      <w:r>
        <w:rPr>
          <w:noProof/>
        </w:rPr>
      </w:r>
      <w:r>
        <w:pict w14:anchorId="694D1D8A">
          <v:rect id="Horizontal Line 28" o:spid="_x0000_s103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6CB4271" w14:textId="77777777" w:rsidR="00164692" w:rsidRDefault="0032627A">
      <w:pPr>
        <w:pStyle w:val="Heading1"/>
      </w:pPr>
      <w:bookmarkStart w:id="45" w:name="leadership-messaging"/>
      <w:bookmarkEnd w:id="44"/>
      <w:r>
        <w:lastRenderedPageBreak/>
        <w:t>Leadership Messaging</w:t>
      </w:r>
    </w:p>
    <w:p w14:paraId="40DAE055" w14:textId="77777777" w:rsidR="00924FA9" w:rsidRDefault="00924FA9" w:rsidP="00924FA9">
      <w:pPr>
        <w:pStyle w:val="FirstParagraph"/>
      </w:pPr>
      <w:r>
        <w:t>The version that holds up across a cycle has four parts: the borrower has changed, the agency framework has not kept pace, Modern Prime Credit is how the platform catches up, and the discipline behind it is sharper than what came before. Whatever language a CEO uses, those four ideas are the ones that need to land.</w:t>
      </w:r>
    </w:p>
    <w:p w14:paraId="27DCF12D" w14:textId="77777777" w:rsidR="00924FA9" w:rsidRDefault="00924FA9" w:rsidP="00924FA9">
      <w:pPr>
        <w:pStyle w:val="FirstParagraph"/>
      </w:pPr>
      <w:r>
        <w:t>The message has to reach internal teams, underwriters, capital markets investors, and the broader organization executing against it. When leadership wavers, the rest of the organization wavers faster. The lenders that succeed in non-agency expansion are the ones whose leaders stay on-message through quarterly noise, regulatory shifts, and competitive pressure. The lenders that fail are the ones whose leaders explain the strategy differently in every meeting.</w:t>
      </w:r>
    </w:p>
    <w:p w14:paraId="24348B04" w14:textId="77777777" w:rsidR="00164692" w:rsidRDefault="008E777A">
      <w:r>
        <w:rPr>
          <w:noProof/>
        </w:rPr>
      </w:r>
      <w:r>
        <w:pict w14:anchorId="3713F9F4">
          <v:rect id="Horizontal Line 29" o:spid="_x0000_s1035"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EC5E688" w14:textId="77777777" w:rsidR="00164692" w:rsidRDefault="0032627A">
      <w:pPr>
        <w:pStyle w:val="Heading1"/>
      </w:pPr>
      <w:bookmarkStart w:id="46" w:name="talent-strategy"/>
      <w:bookmarkEnd w:id="45"/>
      <w:r>
        <w:t>Talent Strategy</w:t>
      </w:r>
    </w:p>
    <w:p w14:paraId="5929AD39" w14:textId="77777777" w:rsidR="00164692" w:rsidRDefault="0032627A">
      <w:pPr>
        <w:pStyle w:val="FirstParagraph"/>
      </w:pPr>
      <w:r>
        <w:t>Successful lenders will increasingly require talent with expertise in:</w:t>
      </w:r>
    </w:p>
    <w:p w14:paraId="2EE737EE" w14:textId="77777777" w:rsidR="00164692" w:rsidRDefault="0032627A">
      <w:pPr>
        <w:pStyle w:val="Compact"/>
        <w:numPr>
          <w:ilvl w:val="0"/>
          <w:numId w:val="59"/>
        </w:numPr>
      </w:pPr>
      <w:r>
        <w:t>cash-flow analysis,</w:t>
      </w:r>
    </w:p>
    <w:p w14:paraId="77595F3A" w14:textId="77777777" w:rsidR="00164692" w:rsidRDefault="0032627A">
      <w:pPr>
        <w:pStyle w:val="Compact"/>
        <w:numPr>
          <w:ilvl w:val="0"/>
          <w:numId w:val="59"/>
        </w:numPr>
      </w:pPr>
      <w:r>
        <w:t>alternative income evaluation,</w:t>
      </w:r>
    </w:p>
    <w:p w14:paraId="3AA735FF" w14:textId="77777777" w:rsidR="00164692" w:rsidRDefault="0032627A">
      <w:pPr>
        <w:pStyle w:val="Compact"/>
        <w:numPr>
          <w:ilvl w:val="0"/>
          <w:numId w:val="59"/>
        </w:numPr>
      </w:pPr>
      <w:r>
        <w:t>investor credit structures,</w:t>
      </w:r>
    </w:p>
    <w:p w14:paraId="3BCF5021" w14:textId="77777777" w:rsidR="00164692" w:rsidRDefault="0032627A">
      <w:pPr>
        <w:pStyle w:val="Compact"/>
        <w:numPr>
          <w:ilvl w:val="0"/>
          <w:numId w:val="59"/>
        </w:numPr>
      </w:pPr>
      <w:r>
        <w:t>technology-enabled underwriting,</w:t>
      </w:r>
    </w:p>
    <w:p w14:paraId="1B41C953" w14:textId="77777777" w:rsidR="00164692" w:rsidRDefault="0032627A">
      <w:pPr>
        <w:pStyle w:val="Compact"/>
        <w:numPr>
          <w:ilvl w:val="0"/>
          <w:numId w:val="59"/>
        </w:numPr>
      </w:pPr>
      <w:r>
        <w:t>and capital markets execution.</w:t>
      </w:r>
    </w:p>
    <w:p w14:paraId="45D525A2" w14:textId="77777777" w:rsidR="00164692" w:rsidRDefault="0032627A">
      <w:pPr>
        <w:pStyle w:val="FirstParagraph"/>
      </w:pPr>
      <w:r>
        <w:t>Training and organizational development should therefore become a strategic priority.</w:t>
      </w:r>
    </w:p>
    <w:p w14:paraId="1D117F56" w14:textId="77777777" w:rsidR="00164692" w:rsidRDefault="008E777A">
      <w:r>
        <w:rPr>
          <w:noProof/>
        </w:rPr>
      </w:r>
      <w:r>
        <w:pict w14:anchorId="6C2FB68F">
          <v:rect id="Horizontal Line 30" o:spid="_x0000_s1034"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34EC4A8" w14:textId="77777777" w:rsidR="00164692" w:rsidRDefault="0032627A">
      <w:pPr>
        <w:pStyle w:val="Heading1"/>
      </w:pPr>
      <w:bookmarkStart w:id="47" w:name="x.-implementation-roadmap"/>
      <w:bookmarkEnd w:id="46"/>
      <w:r>
        <w:t>X. Implementation Roadmap</w:t>
      </w:r>
    </w:p>
    <w:p w14:paraId="3FDB46A2" w14:textId="77777777" w:rsidR="00164692" w:rsidRDefault="0032627A">
      <w:pPr>
        <w:pStyle w:val="Heading1"/>
      </w:pPr>
      <w:bookmarkStart w:id="48" w:name="phase-1-strategic-design-090-days"/>
      <w:bookmarkEnd w:id="47"/>
      <w:r>
        <w:t>Phase 1: Strategic Design (0–90 Days)</w:t>
      </w:r>
    </w:p>
    <w:p w14:paraId="5A319A61" w14:textId="77777777" w:rsidR="00164692" w:rsidRDefault="0032627A">
      <w:pPr>
        <w:pStyle w:val="Heading2"/>
      </w:pPr>
      <w:bookmarkStart w:id="49" w:name="objectives"/>
      <w:r>
        <w:t>Objectives</w:t>
      </w:r>
    </w:p>
    <w:p w14:paraId="3BFC59CC" w14:textId="77777777" w:rsidR="00164692" w:rsidRDefault="0032627A">
      <w:pPr>
        <w:pStyle w:val="Compact"/>
        <w:numPr>
          <w:ilvl w:val="0"/>
          <w:numId w:val="60"/>
        </w:numPr>
      </w:pPr>
      <w:r>
        <w:t>Define modern credit philosophy</w:t>
      </w:r>
    </w:p>
    <w:p w14:paraId="5B0DC9CA" w14:textId="77777777" w:rsidR="00164692" w:rsidRDefault="0032627A">
      <w:pPr>
        <w:pStyle w:val="Compact"/>
        <w:numPr>
          <w:ilvl w:val="0"/>
          <w:numId w:val="60"/>
        </w:numPr>
      </w:pPr>
      <w:r>
        <w:t>Establish governance structure</w:t>
      </w:r>
    </w:p>
    <w:p w14:paraId="3B032CB0" w14:textId="77777777" w:rsidR="00164692" w:rsidRDefault="0032627A">
      <w:pPr>
        <w:pStyle w:val="Compact"/>
        <w:numPr>
          <w:ilvl w:val="0"/>
          <w:numId w:val="60"/>
        </w:numPr>
      </w:pPr>
      <w:r>
        <w:t>Design product architecture</w:t>
      </w:r>
    </w:p>
    <w:p w14:paraId="03D641C5" w14:textId="77777777" w:rsidR="00164692" w:rsidRDefault="0032627A">
      <w:pPr>
        <w:pStyle w:val="Compact"/>
        <w:numPr>
          <w:ilvl w:val="0"/>
          <w:numId w:val="60"/>
        </w:numPr>
      </w:pPr>
      <w:r>
        <w:t>Develop guideline framework</w:t>
      </w:r>
    </w:p>
    <w:p w14:paraId="4DA5D046" w14:textId="77777777" w:rsidR="00164692" w:rsidRDefault="0032627A">
      <w:pPr>
        <w:pStyle w:val="Compact"/>
        <w:numPr>
          <w:ilvl w:val="0"/>
          <w:numId w:val="60"/>
        </w:numPr>
      </w:pPr>
      <w:r>
        <w:t>Assess technology infrastructure</w:t>
      </w:r>
    </w:p>
    <w:p w14:paraId="6D33DFA0" w14:textId="77777777" w:rsidR="00164692" w:rsidRDefault="0032627A">
      <w:pPr>
        <w:pStyle w:val="Compact"/>
        <w:numPr>
          <w:ilvl w:val="0"/>
          <w:numId w:val="60"/>
        </w:numPr>
      </w:pPr>
      <w:r>
        <w:t>Align capital markets strategy</w:t>
      </w:r>
    </w:p>
    <w:p w14:paraId="7A16E0ED" w14:textId="77777777" w:rsidR="00164692" w:rsidRDefault="0032627A">
      <w:pPr>
        <w:pStyle w:val="Heading2"/>
      </w:pPr>
      <w:bookmarkStart w:id="50" w:name="deliverables"/>
      <w:bookmarkEnd w:id="49"/>
      <w:r>
        <w:lastRenderedPageBreak/>
        <w:t>Deliverables</w:t>
      </w:r>
    </w:p>
    <w:p w14:paraId="5ABFE233" w14:textId="77777777" w:rsidR="00164692" w:rsidRDefault="0032627A">
      <w:pPr>
        <w:pStyle w:val="Compact"/>
        <w:numPr>
          <w:ilvl w:val="0"/>
          <w:numId w:val="61"/>
        </w:numPr>
      </w:pPr>
      <w:r>
        <w:t>Enterprise strategy approval</w:t>
      </w:r>
    </w:p>
    <w:p w14:paraId="0E55B358" w14:textId="77777777" w:rsidR="00164692" w:rsidRDefault="0032627A">
      <w:pPr>
        <w:pStyle w:val="Compact"/>
        <w:numPr>
          <w:ilvl w:val="0"/>
          <w:numId w:val="61"/>
        </w:numPr>
      </w:pPr>
      <w:r>
        <w:t>Initial guideline architecture</w:t>
      </w:r>
    </w:p>
    <w:p w14:paraId="08CDF144" w14:textId="77777777" w:rsidR="00164692" w:rsidRDefault="0032627A">
      <w:pPr>
        <w:pStyle w:val="Compact"/>
        <w:numPr>
          <w:ilvl w:val="0"/>
          <w:numId w:val="61"/>
        </w:numPr>
      </w:pPr>
      <w:r>
        <w:t>Product matrix</w:t>
      </w:r>
    </w:p>
    <w:p w14:paraId="5FAD7D51" w14:textId="77777777" w:rsidR="00164692" w:rsidRDefault="0032627A">
      <w:pPr>
        <w:pStyle w:val="Compact"/>
        <w:numPr>
          <w:ilvl w:val="0"/>
          <w:numId w:val="61"/>
        </w:numPr>
      </w:pPr>
      <w:r>
        <w:t>Technology roadmap</w:t>
      </w:r>
    </w:p>
    <w:p w14:paraId="1DAD6E6F" w14:textId="77777777" w:rsidR="00164692" w:rsidRDefault="0032627A">
      <w:pPr>
        <w:pStyle w:val="Compact"/>
        <w:numPr>
          <w:ilvl w:val="0"/>
          <w:numId w:val="61"/>
        </w:numPr>
      </w:pPr>
      <w:r>
        <w:t>Governance charter</w:t>
      </w:r>
    </w:p>
    <w:p w14:paraId="21726248" w14:textId="77777777" w:rsidR="00164692" w:rsidRDefault="0032627A">
      <w:pPr>
        <w:pStyle w:val="Compact"/>
        <w:numPr>
          <w:ilvl w:val="0"/>
          <w:numId w:val="61"/>
        </w:numPr>
      </w:pPr>
      <w:r>
        <w:t>Investor engagement plan</w:t>
      </w:r>
    </w:p>
    <w:p w14:paraId="3C312259" w14:textId="77777777" w:rsidR="00164692" w:rsidRDefault="008E777A">
      <w:r>
        <w:rPr>
          <w:noProof/>
        </w:rPr>
      </w:r>
      <w:r>
        <w:pict w14:anchorId="63083211">
          <v:rect id="Horizontal Line 31" o:spid="_x0000_s1033"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3FF8108" w14:textId="77777777" w:rsidR="00164692" w:rsidRDefault="0032627A">
      <w:pPr>
        <w:pStyle w:val="Heading1"/>
      </w:pPr>
      <w:bookmarkStart w:id="51" w:name="phase-2-pilot-launch-90180-days"/>
      <w:bookmarkEnd w:id="48"/>
      <w:bookmarkEnd w:id="50"/>
      <w:r>
        <w:t>Phase 2: Pilot Launch (90–180 Days)</w:t>
      </w:r>
    </w:p>
    <w:p w14:paraId="3C05DB6F" w14:textId="77777777" w:rsidR="00164692" w:rsidRDefault="0032627A">
      <w:pPr>
        <w:pStyle w:val="Heading2"/>
      </w:pPr>
      <w:bookmarkStart w:id="52" w:name="objectives-1"/>
      <w:r>
        <w:t>Objectives</w:t>
      </w:r>
    </w:p>
    <w:p w14:paraId="47C00EC2" w14:textId="77777777" w:rsidR="00164692" w:rsidRDefault="0032627A">
      <w:pPr>
        <w:pStyle w:val="Compact"/>
        <w:numPr>
          <w:ilvl w:val="0"/>
          <w:numId w:val="62"/>
        </w:numPr>
      </w:pPr>
      <w:r>
        <w:t>Launch initial HELOC platform</w:t>
      </w:r>
    </w:p>
    <w:p w14:paraId="2E0315B9" w14:textId="77777777" w:rsidR="00164692" w:rsidRDefault="0032627A">
      <w:pPr>
        <w:pStyle w:val="Compact"/>
        <w:numPr>
          <w:ilvl w:val="0"/>
          <w:numId w:val="62"/>
        </w:numPr>
      </w:pPr>
      <w:r>
        <w:t>Stand up dedicated underwriting teams</w:t>
      </w:r>
    </w:p>
    <w:p w14:paraId="47652D9A" w14:textId="77777777" w:rsidR="00164692" w:rsidRDefault="0032627A">
      <w:pPr>
        <w:pStyle w:val="Compact"/>
        <w:numPr>
          <w:ilvl w:val="0"/>
          <w:numId w:val="62"/>
        </w:numPr>
      </w:pPr>
      <w:r>
        <w:t>Pilot modern income programs</w:t>
      </w:r>
    </w:p>
    <w:p w14:paraId="0F934D28" w14:textId="77777777" w:rsidR="00164692" w:rsidRDefault="0032627A">
      <w:pPr>
        <w:pStyle w:val="Compact"/>
        <w:numPr>
          <w:ilvl w:val="0"/>
          <w:numId w:val="62"/>
        </w:numPr>
      </w:pPr>
      <w:r>
        <w:t>Validate operational workflows</w:t>
      </w:r>
    </w:p>
    <w:p w14:paraId="2103B3B3" w14:textId="77777777" w:rsidR="00164692" w:rsidRDefault="0032627A">
      <w:pPr>
        <w:pStyle w:val="Compact"/>
        <w:numPr>
          <w:ilvl w:val="0"/>
          <w:numId w:val="62"/>
        </w:numPr>
      </w:pPr>
      <w:r>
        <w:t>Establish QC and analytics reporting</w:t>
      </w:r>
    </w:p>
    <w:p w14:paraId="2611AE66" w14:textId="77777777" w:rsidR="00164692" w:rsidRDefault="0032627A">
      <w:pPr>
        <w:pStyle w:val="Heading2"/>
      </w:pPr>
      <w:bookmarkStart w:id="53" w:name="deliverables-1"/>
      <w:bookmarkEnd w:id="52"/>
      <w:r>
        <w:t>Deliverables</w:t>
      </w:r>
    </w:p>
    <w:p w14:paraId="0F5C46C4" w14:textId="77777777" w:rsidR="00164692" w:rsidRDefault="0032627A">
      <w:pPr>
        <w:pStyle w:val="Compact"/>
        <w:numPr>
          <w:ilvl w:val="0"/>
          <w:numId w:val="63"/>
        </w:numPr>
      </w:pPr>
      <w:r>
        <w:t>Initial production launch</w:t>
      </w:r>
    </w:p>
    <w:p w14:paraId="62137A29" w14:textId="77777777" w:rsidR="00164692" w:rsidRDefault="0032627A">
      <w:pPr>
        <w:pStyle w:val="Compact"/>
        <w:numPr>
          <w:ilvl w:val="0"/>
          <w:numId w:val="63"/>
        </w:numPr>
      </w:pPr>
      <w:r>
        <w:t>Pilot performance reporting</w:t>
      </w:r>
    </w:p>
    <w:p w14:paraId="20425023" w14:textId="77777777" w:rsidR="00164692" w:rsidRDefault="0032627A">
      <w:pPr>
        <w:pStyle w:val="Compact"/>
        <w:numPr>
          <w:ilvl w:val="0"/>
          <w:numId w:val="63"/>
        </w:numPr>
      </w:pPr>
      <w:r>
        <w:t>Underwriting calibration</w:t>
      </w:r>
    </w:p>
    <w:p w14:paraId="2B090F01" w14:textId="77777777" w:rsidR="00164692" w:rsidRDefault="0032627A">
      <w:pPr>
        <w:pStyle w:val="Compact"/>
        <w:numPr>
          <w:ilvl w:val="0"/>
          <w:numId w:val="63"/>
        </w:numPr>
      </w:pPr>
      <w:r>
        <w:t>Operational KPI dashboards</w:t>
      </w:r>
    </w:p>
    <w:p w14:paraId="15916D5C" w14:textId="77777777" w:rsidR="00164692" w:rsidRDefault="0032627A">
      <w:pPr>
        <w:pStyle w:val="Compact"/>
        <w:numPr>
          <w:ilvl w:val="0"/>
          <w:numId w:val="63"/>
        </w:numPr>
      </w:pPr>
      <w:r>
        <w:t>Investor feedback loop</w:t>
      </w:r>
    </w:p>
    <w:p w14:paraId="071D2DA7" w14:textId="77777777" w:rsidR="00164692" w:rsidRDefault="008E777A">
      <w:r>
        <w:rPr>
          <w:noProof/>
        </w:rPr>
      </w:r>
      <w:r>
        <w:pict w14:anchorId="4DBE7EA9">
          <v:rect id="Horizontal Line 32" o:spid="_x0000_s103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56D213C" w14:textId="77777777" w:rsidR="00164692" w:rsidRDefault="0032627A">
      <w:pPr>
        <w:pStyle w:val="Heading1"/>
      </w:pPr>
      <w:bookmarkStart w:id="54" w:name="X45f9eabffb91e9c4350708b9e97aaec91fa17cc"/>
      <w:bookmarkEnd w:id="51"/>
      <w:bookmarkEnd w:id="53"/>
      <w:r>
        <w:t>Phase 3: Scale and Institutionalize (180–365 Days)</w:t>
      </w:r>
    </w:p>
    <w:p w14:paraId="46A0ABCD" w14:textId="77777777" w:rsidR="00164692" w:rsidRDefault="0032627A">
      <w:pPr>
        <w:pStyle w:val="Heading2"/>
      </w:pPr>
      <w:bookmarkStart w:id="55" w:name="objectives-2"/>
      <w:r>
        <w:t>Objectives</w:t>
      </w:r>
    </w:p>
    <w:p w14:paraId="1CEBA95F" w14:textId="77777777" w:rsidR="00164692" w:rsidRDefault="0032627A">
      <w:pPr>
        <w:pStyle w:val="Compact"/>
        <w:numPr>
          <w:ilvl w:val="0"/>
          <w:numId w:val="64"/>
        </w:numPr>
      </w:pPr>
      <w:r>
        <w:t>Expand product set</w:t>
      </w:r>
    </w:p>
    <w:p w14:paraId="17CD6972" w14:textId="77777777" w:rsidR="00164692" w:rsidRDefault="0032627A">
      <w:pPr>
        <w:pStyle w:val="Compact"/>
        <w:numPr>
          <w:ilvl w:val="0"/>
          <w:numId w:val="64"/>
        </w:numPr>
      </w:pPr>
      <w:r>
        <w:t>Increase distribution channels</w:t>
      </w:r>
    </w:p>
    <w:p w14:paraId="3E52FC47" w14:textId="77777777" w:rsidR="00164692" w:rsidRDefault="0032627A">
      <w:pPr>
        <w:pStyle w:val="Compact"/>
        <w:numPr>
          <w:ilvl w:val="0"/>
          <w:numId w:val="64"/>
        </w:numPr>
      </w:pPr>
      <w:r>
        <w:t>Optimize securitization readiness</w:t>
      </w:r>
    </w:p>
    <w:p w14:paraId="10A4FCAC" w14:textId="77777777" w:rsidR="00164692" w:rsidRDefault="0032627A">
      <w:pPr>
        <w:pStyle w:val="Compact"/>
        <w:numPr>
          <w:ilvl w:val="0"/>
          <w:numId w:val="64"/>
        </w:numPr>
      </w:pPr>
      <w:r>
        <w:t>Enhance automation</w:t>
      </w:r>
    </w:p>
    <w:p w14:paraId="247E13E6" w14:textId="77777777" w:rsidR="00164692" w:rsidRDefault="0032627A">
      <w:pPr>
        <w:pStyle w:val="Compact"/>
        <w:numPr>
          <w:ilvl w:val="0"/>
          <w:numId w:val="64"/>
        </w:numPr>
      </w:pPr>
      <w:r>
        <w:t>Refine pricing and profitability</w:t>
      </w:r>
    </w:p>
    <w:p w14:paraId="13CE27FD" w14:textId="77777777" w:rsidR="00164692" w:rsidRDefault="0032627A">
      <w:pPr>
        <w:pStyle w:val="Heading2"/>
      </w:pPr>
      <w:bookmarkStart w:id="56" w:name="deliverables-2"/>
      <w:bookmarkEnd w:id="55"/>
      <w:r>
        <w:t>Deliverables</w:t>
      </w:r>
    </w:p>
    <w:p w14:paraId="66E0C8AF" w14:textId="77777777" w:rsidR="00164692" w:rsidRDefault="0032627A">
      <w:pPr>
        <w:pStyle w:val="Compact"/>
        <w:numPr>
          <w:ilvl w:val="0"/>
          <w:numId w:val="65"/>
        </w:numPr>
      </w:pPr>
      <w:r>
        <w:t>Expanded national rollout</w:t>
      </w:r>
    </w:p>
    <w:p w14:paraId="587FCF1E" w14:textId="77777777" w:rsidR="00164692" w:rsidRDefault="0032627A">
      <w:pPr>
        <w:pStyle w:val="Compact"/>
        <w:numPr>
          <w:ilvl w:val="0"/>
          <w:numId w:val="65"/>
        </w:numPr>
      </w:pPr>
      <w:r>
        <w:lastRenderedPageBreak/>
        <w:t>Institutional investor scaling</w:t>
      </w:r>
    </w:p>
    <w:p w14:paraId="3A39A12B" w14:textId="77777777" w:rsidR="00164692" w:rsidRDefault="0032627A">
      <w:pPr>
        <w:pStyle w:val="Compact"/>
        <w:numPr>
          <w:ilvl w:val="0"/>
          <w:numId w:val="65"/>
        </w:numPr>
      </w:pPr>
      <w:r>
        <w:t>Secondary execution optimization</w:t>
      </w:r>
    </w:p>
    <w:p w14:paraId="4FE8BE58" w14:textId="77777777" w:rsidR="00164692" w:rsidRDefault="0032627A">
      <w:pPr>
        <w:pStyle w:val="Compact"/>
        <w:numPr>
          <w:ilvl w:val="0"/>
          <w:numId w:val="65"/>
        </w:numPr>
      </w:pPr>
      <w:r>
        <w:t>Enterprise analytics infrastructure</w:t>
      </w:r>
    </w:p>
    <w:p w14:paraId="2EDB1A00" w14:textId="77777777" w:rsidR="00164692" w:rsidRDefault="0032627A">
      <w:pPr>
        <w:pStyle w:val="Compact"/>
        <w:numPr>
          <w:ilvl w:val="0"/>
          <w:numId w:val="65"/>
        </w:numPr>
      </w:pPr>
      <w:r>
        <w:t>Ongoing guideline refinement</w:t>
      </w:r>
    </w:p>
    <w:p w14:paraId="26813849" w14:textId="77777777" w:rsidR="00164692" w:rsidRDefault="008E777A">
      <w:r>
        <w:rPr>
          <w:noProof/>
        </w:rPr>
      </w:r>
      <w:r>
        <w:pict w14:anchorId="21C8D122">
          <v:rect id="Horizontal Line 33" o:spid="_x0000_s103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46590A88" w14:textId="77777777" w:rsidR="00164692" w:rsidRDefault="0032627A">
      <w:pPr>
        <w:pStyle w:val="Heading1"/>
      </w:pPr>
      <w:bookmarkStart w:id="57" w:name="xi.-success-metrics"/>
      <w:bookmarkEnd w:id="54"/>
      <w:bookmarkEnd w:id="56"/>
      <w:r>
        <w:t>XI. Success Metrics</w:t>
      </w:r>
    </w:p>
    <w:p w14:paraId="60F5DE38" w14:textId="77777777" w:rsidR="00164692" w:rsidRDefault="0032627A">
      <w:pPr>
        <w:pStyle w:val="FirstParagraph"/>
      </w:pPr>
      <w:r>
        <w:t>The success of a modern Non-Agency platform should be evaluated across three dimensions:</w:t>
      </w:r>
    </w:p>
    <w:p w14:paraId="535AE9E0" w14:textId="77777777" w:rsidR="00164692" w:rsidRDefault="008E777A">
      <w:r>
        <w:rPr>
          <w:noProof/>
        </w:rPr>
      </w:r>
      <w:r>
        <w:pict w14:anchorId="0DCB4CD6">
          <v:rect id="Horizontal Line 34" o:spid="_x0000_s103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1CB26EA" w14:textId="77777777" w:rsidR="00164692" w:rsidRDefault="0032627A">
      <w:pPr>
        <w:pStyle w:val="Heading1"/>
      </w:pPr>
      <w:bookmarkStart w:id="58" w:name="a.-production-and-customer-metrics"/>
      <w:bookmarkEnd w:id="57"/>
      <w:r>
        <w:t>A. Production and Customer Metrics</w:t>
      </w:r>
    </w:p>
    <w:p w14:paraId="49A0D877" w14:textId="77777777" w:rsidR="00164692" w:rsidRDefault="0032627A">
      <w:pPr>
        <w:pStyle w:val="Compact"/>
        <w:numPr>
          <w:ilvl w:val="0"/>
          <w:numId w:val="66"/>
        </w:numPr>
      </w:pPr>
      <w:r>
        <w:t>Pull-through rates</w:t>
      </w:r>
    </w:p>
    <w:p w14:paraId="3A9D37EE" w14:textId="77777777" w:rsidR="00164692" w:rsidRDefault="0032627A">
      <w:pPr>
        <w:pStyle w:val="Compact"/>
        <w:numPr>
          <w:ilvl w:val="0"/>
          <w:numId w:val="66"/>
        </w:numPr>
      </w:pPr>
      <w:r>
        <w:t>Cycle times</w:t>
      </w:r>
    </w:p>
    <w:p w14:paraId="3C77721D" w14:textId="77777777" w:rsidR="00164692" w:rsidRDefault="0032627A">
      <w:pPr>
        <w:pStyle w:val="Compact"/>
        <w:numPr>
          <w:ilvl w:val="0"/>
          <w:numId w:val="66"/>
        </w:numPr>
      </w:pPr>
      <w:r>
        <w:t>Customer retention</w:t>
      </w:r>
    </w:p>
    <w:p w14:paraId="4D619568" w14:textId="77777777" w:rsidR="00164692" w:rsidRDefault="0032627A">
      <w:pPr>
        <w:pStyle w:val="Compact"/>
        <w:numPr>
          <w:ilvl w:val="0"/>
          <w:numId w:val="66"/>
        </w:numPr>
      </w:pPr>
      <w:r>
        <w:t>Recapture performance</w:t>
      </w:r>
    </w:p>
    <w:p w14:paraId="33AD8C93" w14:textId="77777777" w:rsidR="00164692" w:rsidRDefault="0032627A">
      <w:pPr>
        <w:pStyle w:val="Compact"/>
        <w:numPr>
          <w:ilvl w:val="0"/>
          <w:numId w:val="66"/>
        </w:numPr>
      </w:pPr>
      <w:r>
        <w:t>Cost-to-close</w:t>
      </w:r>
    </w:p>
    <w:p w14:paraId="23F6BC6B" w14:textId="77777777" w:rsidR="00164692" w:rsidRDefault="0032627A">
      <w:pPr>
        <w:pStyle w:val="Compact"/>
        <w:numPr>
          <w:ilvl w:val="0"/>
          <w:numId w:val="66"/>
        </w:numPr>
      </w:pPr>
      <w:r>
        <w:t>Borrower satisfaction</w:t>
      </w:r>
    </w:p>
    <w:p w14:paraId="4BA7269E" w14:textId="77777777" w:rsidR="00164692" w:rsidRDefault="008E777A">
      <w:r>
        <w:rPr>
          <w:noProof/>
        </w:rPr>
      </w:r>
      <w:r>
        <w:pict w14:anchorId="447A91F9">
          <v:rect id="Horizontal Line 35" o:spid="_x0000_s1029"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6815BC1" w14:textId="77777777" w:rsidR="00164692" w:rsidRDefault="0032627A">
      <w:pPr>
        <w:pStyle w:val="Heading1"/>
      </w:pPr>
      <w:bookmarkStart w:id="59" w:name="b.-credit-performance-metrics"/>
      <w:bookmarkEnd w:id="58"/>
      <w:r>
        <w:t>B. Credit Performance Metrics</w:t>
      </w:r>
    </w:p>
    <w:p w14:paraId="0BA9EB96" w14:textId="77777777" w:rsidR="00164692" w:rsidRDefault="0032627A">
      <w:pPr>
        <w:pStyle w:val="Compact"/>
        <w:numPr>
          <w:ilvl w:val="0"/>
          <w:numId w:val="67"/>
        </w:numPr>
      </w:pPr>
      <w:r>
        <w:t>Early payment defaults</w:t>
      </w:r>
    </w:p>
    <w:p w14:paraId="10BF7F42" w14:textId="77777777" w:rsidR="00164692" w:rsidRDefault="0032627A">
      <w:pPr>
        <w:pStyle w:val="Compact"/>
        <w:numPr>
          <w:ilvl w:val="0"/>
          <w:numId w:val="67"/>
        </w:numPr>
      </w:pPr>
      <w:r>
        <w:t>Delinquency trends</w:t>
      </w:r>
    </w:p>
    <w:p w14:paraId="1D81CF6F" w14:textId="77777777" w:rsidR="00164692" w:rsidRDefault="0032627A">
      <w:pPr>
        <w:pStyle w:val="Compact"/>
        <w:numPr>
          <w:ilvl w:val="0"/>
          <w:numId w:val="67"/>
        </w:numPr>
      </w:pPr>
      <w:r>
        <w:t>Severity performance</w:t>
      </w:r>
    </w:p>
    <w:p w14:paraId="17FFA19B" w14:textId="77777777" w:rsidR="00164692" w:rsidRDefault="0032627A">
      <w:pPr>
        <w:pStyle w:val="Compact"/>
        <w:numPr>
          <w:ilvl w:val="0"/>
          <w:numId w:val="67"/>
        </w:numPr>
      </w:pPr>
      <w:r>
        <w:t>Repurchase exposure</w:t>
      </w:r>
    </w:p>
    <w:p w14:paraId="44E76756" w14:textId="77777777" w:rsidR="00164692" w:rsidRDefault="0032627A">
      <w:pPr>
        <w:pStyle w:val="Compact"/>
        <w:numPr>
          <w:ilvl w:val="0"/>
          <w:numId w:val="67"/>
        </w:numPr>
      </w:pPr>
      <w:r>
        <w:t>Fraud incidence</w:t>
      </w:r>
    </w:p>
    <w:p w14:paraId="7C7438A3" w14:textId="77777777" w:rsidR="00164692" w:rsidRDefault="0032627A">
      <w:pPr>
        <w:pStyle w:val="Compact"/>
        <w:numPr>
          <w:ilvl w:val="0"/>
          <w:numId w:val="67"/>
        </w:numPr>
      </w:pPr>
      <w:r>
        <w:t>Reserve adequacy</w:t>
      </w:r>
    </w:p>
    <w:p w14:paraId="11ADC2B9" w14:textId="77777777" w:rsidR="00164692" w:rsidRDefault="008E777A">
      <w:r>
        <w:rPr>
          <w:noProof/>
        </w:rPr>
      </w:r>
      <w:r>
        <w:pict w14:anchorId="7BC203AB">
          <v:rect id="Horizontal Line 36" o:spid="_x0000_s102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213F046" w14:textId="77777777" w:rsidR="00164692" w:rsidRDefault="0032627A">
      <w:pPr>
        <w:pStyle w:val="Heading1"/>
      </w:pPr>
      <w:bookmarkStart w:id="60" w:name="c.-capital-markets-metrics"/>
      <w:bookmarkEnd w:id="59"/>
      <w:r>
        <w:t>C. Capital Markets Metrics</w:t>
      </w:r>
    </w:p>
    <w:p w14:paraId="61F588B1" w14:textId="77777777" w:rsidR="00164692" w:rsidRDefault="0032627A">
      <w:pPr>
        <w:pStyle w:val="Compact"/>
        <w:numPr>
          <w:ilvl w:val="0"/>
          <w:numId w:val="68"/>
        </w:numPr>
      </w:pPr>
      <w:r>
        <w:t>Gain-on-sale performance</w:t>
      </w:r>
    </w:p>
    <w:p w14:paraId="2389D148" w14:textId="77777777" w:rsidR="00164692" w:rsidRDefault="0032627A">
      <w:pPr>
        <w:pStyle w:val="Compact"/>
        <w:numPr>
          <w:ilvl w:val="0"/>
          <w:numId w:val="68"/>
        </w:numPr>
      </w:pPr>
      <w:r>
        <w:t>Investor diversification</w:t>
      </w:r>
    </w:p>
    <w:p w14:paraId="792E8EF8" w14:textId="77777777" w:rsidR="00164692" w:rsidRDefault="0032627A">
      <w:pPr>
        <w:pStyle w:val="Compact"/>
        <w:numPr>
          <w:ilvl w:val="0"/>
          <w:numId w:val="68"/>
        </w:numPr>
      </w:pPr>
      <w:r>
        <w:t>Execution premiums</w:t>
      </w:r>
    </w:p>
    <w:p w14:paraId="0A2FBBCE" w14:textId="77777777" w:rsidR="00164692" w:rsidRDefault="0032627A">
      <w:pPr>
        <w:pStyle w:val="Compact"/>
        <w:numPr>
          <w:ilvl w:val="0"/>
          <w:numId w:val="68"/>
        </w:numPr>
      </w:pPr>
      <w:r>
        <w:t>Securitization spreads</w:t>
      </w:r>
    </w:p>
    <w:p w14:paraId="64447D1D" w14:textId="77777777" w:rsidR="00164692" w:rsidRDefault="0032627A">
      <w:pPr>
        <w:pStyle w:val="Compact"/>
        <w:numPr>
          <w:ilvl w:val="0"/>
          <w:numId w:val="68"/>
        </w:numPr>
      </w:pPr>
      <w:r>
        <w:t>Liquidity depth</w:t>
      </w:r>
    </w:p>
    <w:p w14:paraId="3280B2FA" w14:textId="77777777" w:rsidR="00164692" w:rsidRDefault="0032627A">
      <w:pPr>
        <w:pStyle w:val="Compact"/>
        <w:numPr>
          <w:ilvl w:val="0"/>
          <w:numId w:val="68"/>
        </w:numPr>
      </w:pPr>
      <w:r>
        <w:lastRenderedPageBreak/>
        <w:t>Delivery consistency</w:t>
      </w:r>
    </w:p>
    <w:p w14:paraId="0E5EFAD0" w14:textId="77777777" w:rsidR="00164692" w:rsidRDefault="008E777A">
      <w:r>
        <w:rPr>
          <w:noProof/>
        </w:rPr>
      </w:r>
      <w:r>
        <w:pict w14:anchorId="18719B14">
          <v:rect id="Horizontal Line 37" o:spid="_x0000_s102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CC8B6CE" w14:textId="77777777" w:rsidR="00164692" w:rsidRDefault="0032627A">
      <w:pPr>
        <w:pStyle w:val="Heading1"/>
      </w:pPr>
      <w:bookmarkStart w:id="61" w:name="xii.-strategic-outlook"/>
      <w:bookmarkEnd w:id="60"/>
      <w:r>
        <w:t>XII. Strategic Outlook</w:t>
      </w:r>
    </w:p>
    <w:p w14:paraId="6B19F458" w14:textId="34FB532A" w:rsidR="00164692" w:rsidRDefault="0032627A">
      <w:pPr>
        <w:pStyle w:val="FirstParagraph"/>
      </w:pPr>
      <w:r>
        <w:t>The mortgage industry is in the middle of a slow-motion repricing of what counts as a prime borrower. The lenders who recognize that early get to define the next generation of platforms. The lenders who don’t will spend the cycle defending share they used to take for granted.</w:t>
      </w:r>
    </w:p>
    <w:p w14:paraId="00000003" w14:textId="77777777" w:rsidR="00164692" w:rsidRDefault="0032627A">
      <w:pPr>
        <w:pStyle w:val="BodyText"/>
      </w:pPr>
      <w:r>
        <w:t>A note from someone who’s been through several of these cycles: market share in mortgage doesn’t belong to anyone for long. In 2008 and 2009, the commercial banks dominated. The IMBs couldn’t compete with them for nearly a decade. Then the cycle turned, and the IMBs went from a quarter of the market to closer to three-quarters of it. Anyone holding that kind of share tends to orphan it quickly. With Basel III adjustments potentially bringing banks back into the market, and brokers continuing their resurgence, IMBs that don’t build durable advantages now will find themselves competing for borrowers they used to take for granted. Modern Prime Credit is one of the few moves that builds a structural moat instead of a temporary one.</w:t>
      </w:r>
    </w:p>
    <w:p w14:paraId="5DBFC961" w14:textId="28B253E4" w:rsidR="00164692" w:rsidRDefault="0032627A">
      <w:pPr>
        <w:pStyle w:val="BodyText"/>
      </w:pPr>
      <w:r>
        <w:t>The skills the next decade rewards are evaluating modern income, using real-time data instead of two-year-old tax returns, simplifying underwriting without weakening it, modernizing valuation, and serving the borrowers the legacy framework was never built to see.</w:t>
      </w:r>
    </w:p>
    <w:p w14:paraId="0788AD36" w14:textId="31E72C74" w:rsidR="00164692" w:rsidRDefault="0032627A">
      <w:pPr>
        <w:pStyle w:val="FirstParagraph"/>
      </w:pPr>
      <w:r>
        <w:t>Non-Agency lending has stopped being an alternative market and started becoming a core component of mainstream mortgage finance.</w:t>
      </w:r>
    </w:p>
    <w:p w14:paraId="6CCEBE21" w14:textId="4D7469D8" w:rsidR="00164692" w:rsidRDefault="0032627A">
      <w:pPr>
        <w:pStyle w:val="BodyText"/>
      </w:pPr>
      <w:r>
        <w:t>The lenders that modernize early gain market share, customer loyalty, operational efficiency, and the kind of capital markets relevance that compounds across cycles. The lenders tied to legacy agency manufacturing face the opposite of all of that: margin pressure, declining differentiation, and a customer base that is steadily drifting toward platforms that can actually evaluate them.</w:t>
      </w:r>
    </w:p>
    <w:p w14:paraId="31FE3C98" w14:textId="7FB93886" w:rsidR="00164692" w:rsidRDefault="0032627A">
      <w:pPr>
        <w:pStyle w:val="BodyText"/>
      </w:pPr>
      <w:r>
        <w:t>The next generation of mortgage leaders will be defined by who builds the most effective Modern Prime Credit platforms, not by who originates the most agency loans. The work is in front of every lender reading this. The window is open now.</w:t>
      </w:r>
    </w:p>
    <w:p w14:paraId="740135F6" w14:textId="77777777" w:rsidR="00164692" w:rsidRDefault="008E777A">
      <w:r>
        <w:rPr>
          <w:noProof/>
        </w:rPr>
      </w:r>
      <w:r>
        <w:pict w14:anchorId="2D201F6C">
          <v:rect id="Horizontal Line 38"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D8007B7" w14:textId="77777777" w:rsidR="00164692" w:rsidRDefault="0032627A">
      <w:pPr>
        <w:pStyle w:val="Heading1"/>
      </w:pPr>
      <w:bookmarkStart w:id="62" w:name="about-dallas-capital"/>
      <w:bookmarkEnd w:id="61"/>
      <w:r>
        <w:t>About Dallas Capital</w:t>
      </w:r>
    </w:p>
    <w:p w14:paraId="0E7BF1DC" w14:textId="77777777" w:rsidR="003A70FA" w:rsidRDefault="003A70FA" w:rsidP="002C3CFA">
      <w:pPr>
        <w:pStyle w:val="BodyText"/>
      </w:pPr>
      <w:r w:rsidRPr="003A70FA">
        <w:t xml:space="preserve">Dallas Capital is a strategic advisory firm built on 40+ years of building, growing, selling, and fixing companies. Founder Bill Dallas helps leaders and organizations navigate critical </w:t>
      </w:r>
      <w:r w:rsidRPr="003A70FA">
        <w:lastRenderedPageBreak/>
        <w:t>challenges and transitions, whether they built their company, inherited it, or were brought in to lead it.</w:t>
      </w:r>
    </w:p>
    <w:p w14:paraId="54595ACE" w14:textId="77777777" w:rsidR="003A70FA" w:rsidRDefault="003A70FA" w:rsidP="002C3CFA">
      <w:pPr>
        <w:pStyle w:val="BodyText"/>
      </w:pPr>
      <w:r w:rsidRPr="003A70FA">
        <w:t>Bill has operated on every side of the table: founder, CEO, board member, investor, advisor. That breadth produces pattern recognition that only comes from decades of direct involvement in building, fixing, and transitioning companies. Dallas Capital's clients include founders building companies and the institutional investors backing them, across mortgage and financial services, fintech, entertainment, education, consumer products, hospitality, and golf.</w:t>
      </w:r>
    </w:p>
    <w:p w14:paraId="1AD446A5" w14:textId="77777777" w:rsidR="003A70FA" w:rsidRDefault="003A70FA" w:rsidP="002C3CFA">
      <w:pPr>
        <w:pStyle w:val="BodyText"/>
      </w:pPr>
      <w:r w:rsidRPr="003A70FA">
        <w:t>The firm's work centers on inflection points: executing turnarounds, preparing for transactions, and helping leadership teams jettison the patterns that have become barriers to continued growth. These are deep commitments, not transactional engagements. Bill stays engaged through execution.</w:t>
      </w:r>
    </w:p>
    <w:p w14:paraId="6199970F" w14:textId="68D38915" w:rsidR="00164692" w:rsidRDefault="003A70FA" w:rsidP="002C3CFA">
      <w:pPr>
        <w:pStyle w:val="BodyText"/>
      </w:pPr>
      <w:r w:rsidRPr="003A70FA">
        <w:t>For mortgage lenders specifically, Dallas Capital advises on the modernization issues this paper addresses: Non-Agency expansion, credit platform redesign, capital markets execution, and the operating-model discipline required to compete in a market where the borrower has changed and the agency framework has not.</w:t>
      </w:r>
      <w:bookmarkEnd w:id="62"/>
    </w:p>
    <w:sectPr w:rsidR="00164692">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00000000" w:usb2="0001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CF64BE6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E61C84A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62091740">
    <w:abstractNumId w:val="0"/>
  </w:num>
  <w:num w:numId="2" w16cid:durableId="3999891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3618986">
    <w:abstractNumId w:val="0"/>
  </w:num>
  <w:num w:numId="4" w16cid:durableId="1697999513">
    <w:abstractNumId w:val="0"/>
  </w:num>
  <w:num w:numId="5" w16cid:durableId="214588054">
    <w:abstractNumId w:val="0"/>
  </w:num>
  <w:num w:numId="6" w16cid:durableId="1495216438">
    <w:abstractNumId w:val="0"/>
  </w:num>
  <w:num w:numId="7" w16cid:durableId="1257902294">
    <w:abstractNumId w:val="0"/>
  </w:num>
  <w:num w:numId="8" w16cid:durableId="1499079357">
    <w:abstractNumId w:val="0"/>
  </w:num>
  <w:num w:numId="9" w16cid:durableId="1150099080">
    <w:abstractNumId w:val="0"/>
  </w:num>
  <w:num w:numId="10" w16cid:durableId="1754664956">
    <w:abstractNumId w:val="0"/>
  </w:num>
  <w:num w:numId="11" w16cid:durableId="128789775">
    <w:abstractNumId w:val="0"/>
  </w:num>
  <w:num w:numId="12" w16cid:durableId="668947120">
    <w:abstractNumId w:val="0"/>
  </w:num>
  <w:num w:numId="13" w16cid:durableId="637153466">
    <w:abstractNumId w:val="0"/>
  </w:num>
  <w:num w:numId="14" w16cid:durableId="1097168902">
    <w:abstractNumId w:val="0"/>
  </w:num>
  <w:num w:numId="15" w16cid:durableId="1290744085">
    <w:abstractNumId w:val="0"/>
  </w:num>
  <w:num w:numId="16" w16cid:durableId="1837111859">
    <w:abstractNumId w:val="0"/>
  </w:num>
  <w:num w:numId="17" w16cid:durableId="1117873609">
    <w:abstractNumId w:val="0"/>
  </w:num>
  <w:num w:numId="18" w16cid:durableId="665550123">
    <w:abstractNumId w:val="0"/>
  </w:num>
  <w:num w:numId="19" w16cid:durableId="421998798">
    <w:abstractNumId w:val="0"/>
  </w:num>
  <w:num w:numId="20" w16cid:durableId="1301881074">
    <w:abstractNumId w:val="0"/>
  </w:num>
  <w:num w:numId="21" w16cid:durableId="314183288">
    <w:abstractNumId w:val="0"/>
  </w:num>
  <w:num w:numId="22" w16cid:durableId="407389184">
    <w:abstractNumId w:val="0"/>
  </w:num>
  <w:num w:numId="23" w16cid:durableId="35087283">
    <w:abstractNumId w:val="0"/>
  </w:num>
  <w:num w:numId="24" w16cid:durableId="348066795">
    <w:abstractNumId w:val="0"/>
  </w:num>
  <w:num w:numId="25" w16cid:durableId="1924871655">
    <w:abstractNumId w:val="0"/>
  </w:num>
  <w:num w:numId="26" w16cid:durableId="862091329">
    <w:abstractNumId w:val="0"/>
  </w:num>
  <w:num w:numId="27" w16cid:durableId="41366160">
    <w:abstractNumId w:val="0"/>
  </w:num>
  <w:num w:numId="28" w16cid:durableId="411972036">
    <w:abstractNumId w:val="0"/>
  </w:num>
  <w:num w:numId="29" w16cid:durableId="1133326042">
    <w:abstractNumId w:val="0"/>
  </w:num>
  <w:num w:numId="30" w16cid:durableId="1329870921">
    <w:abstractNumId w:val="0"/>
  </w:num>
  <w:num w:numId="31" w16cid:durableId="766585270">
    <w:abstractNumId w:val="0"/>
  </w:num>
  <w:num w:numId="32" w16cid:durableId="331420284">
    <w:abstractNumId w:val="0"/>
  </w:num>
  <w:num w:numId="33" w16cid:durableId="1836144317">
    <w:abstractNumId w:val="0"/>
  </w:num>
  <w:num w:numId="34" w16cid:durableId="478108453">
    <w:abstractNumId w:val="0"/>
  </w:num>
  <w:num w:numId="35" w16cid:durableId="328753076">
    <w:abstractNumId w:val="0"/>
  </w:num>
  <w:num w:numId="36" w16cid:durableId="1220745556">
    <w:abstractNumId w:val="0"/>
  </w:num>
  <w:num w:numId="37" w16cid:durableId="1429497027">
    <w:abstractNumId w:val="0"/>
  </w:num>
  <w:num w:numId="38" w16cid:durableId="1366636981">
    <w:abstractNumId w:val="0"/>
  </w:num>
  <w:num w:numId="39" w16cid:durableId="805004762">
    <w:abstractNumId w:val="0"/>
  </w:num>
  <w:num w:numId="40" w16cid:durableId="2045475175">
    <w:abstractNumId w:val="0"/>
  </w:num>
  <w:num w:numId="41" w16cid:durableId="306932431">
    <w:abstractNumId w:val="0"/>
  </w:num>
  <w:num w:numId="42" w16cid:durableId="1395549330">
    <w:abstractNumId w:val="0"/>
  </w:num>
  <w:num w:numId="43" w16cid:durableId="684600540">
    <w:abstractNumId w:val="0"/>
  </w:num>
  <w:num w:numId="44" w16cid:durableId="1020398648">
    <w:abstractNumId w:val="0"/>
  </w:num>
  <w:num w:numId="45" w16cid:durableId="1784107507">
    <w:abstractNumId w:val="0"/>
  </w:num>
  <w:num w:numId="46" w16cid:durableId="518355126">
    <w:abstractNumId w:val="0"/>
  </w:num>
  <w:num w:numId="47" w16cid:durableId="1654944793">
    <w:abstractNumId w:val="0"/>
  </w:num>
  <w:num w:numId="48" w16cid:durableId="1193152972">
    <w:abstractNumId w:val="0"/>
  </w:num>
  <w:num w:numId="49" w16cid:durableId="416900912">
    <w:abstractNumId w:val="0"/>
  </w:num>
  <w:num w:numId="50" w16cid:durableId="1318995850">
    <w:abstractNumId w:val="0"/>
  </w:num>
  <w:num w:numId="51" w16cid:durableId="204217349">
    <w:abstractNumId w:val="0"/>
  </w:num>
  <w:num w:numId="52" w16cid:durableId="1461412262">
    <w:abstractNumId w:val="0"/>
  </w:num>
  <w:num w:numId="53" w16cid:durableId="580410501">
    <w:abstractNumId w:val="0"/>
  </w:num>
  <w:num w:numId="54" w16cid:durableId="1419250889">
    <w:abstractNumId w:val="0"/>
  </w:num>
  <w:num w:numId="55" w16cid:durableId="1414861397">
    <w:abstractNumId w:val="0"/>
  </w:num>
  <w:num w:numId="56" w16cid:durableId="69427369">
    <w:abstractNumId w:val="0"/>
  </w:num>
  <w:num w:numId="57" w16cid:durableId="1068500562">
    <w:abstractNumId w:val="0"/>
  </w:num>
  <w:num w:numId="58" w16cid:durableId="1287851154">
    <w:abstractNumId w:val="0"/>
  </w:num>
  <w:num w:numId="59" w16cid:durableId="1913197571">
    <w:abstractNumId w:val="0"/>
  </w:num>
  <w:num w:numId="60" w16cid:durableId="1928802860">
    <w:abstractNumId w:val="0"/>
  </w:num>
  <w:num w:numId="61" w16cid:durableId="2018000320">
    <w:abstractNumId w:val="0"/>
  </w:num>
  <w:num w:numId="62" w16cid:durableId="530533257">
    <w:abstractNumId w:val="0"/>
  </w:num>
  <w:num w:numId="63" w16cid:durableId="583608183">
    <w:abstractNumId w:val="0"/>
  </w:num>
  <w:num w:numId="64" w16cid:durableId="1217862931">
    <w:abstractNumId w:val="0"/>
  </w:num>
  <w:num w:numId="65" w16cid:durableId="1816794242">
    <w:abstractNumId w:val="0"/>
  </w:num>
  <w:num w:numId="66" w16cid:durableId="881795526">
    <w:abstractNumId w:val="0"/>
  </w:num>
  <w:num w:numId="67" w16cid:durableId="2108188700">
    <w:abstractNumId w:val="0"/>
  </w:num>
  <w:num w:numId="68" w16cid:durableId="558905979">
    <w:abstractNumId w:val="0"/>
  </w:num>
  <w:num w:numId="69" w16cid:durableId="622031712">
    <w:abstractNumId w:val="0"/>
  </w:num>
  <w:num w:numId="70" w16cid:durableId="779686140">
    <w:abstractNumId w:val="0"/>
  </w:num>
  <w:num w:numId="71" w16cid:durableId="1558860846">
    <w:abstractNumId w:val="0"/>
  </w:num>
  <w:numIdMacAtCleanup w:val="7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removePersonalInformation/>
  <w:removeDateAndTime/>
  <w:embedSystemFonts/>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92"/>
    <w:rsid w:val="00010090"/>
    <w:rsid w:val="00053F5C"/>
    <w:rsid w:val="00164692"/>
    <w:rsid w:val="001A4C66"/>
    <w:rsid w:val="00224352"/>
    <w:rsid w:val="00233C50"/>
    <w:rsid w:val="002C3CFA"/>
    <w:rsid w:val="0032627A"/>
    <w:rsid w:val="003A70FA"/>
    <w:rsid w:val="003C4653"/>
    <w:rsid w:val="00426DBD"/>
    <w:rsid w:val="004E64BF"/>
    <w:rsid w:val="005C6AFB"/>
    <w:rsid w:val="005F047A"/>
    <w:rsid w:val="00636319"/>
    <w:rsid w:val="006E2005"/>
    <w:rsid w:val="00766121"/>
    <w:rsid w:val="007D72C7"/>
    <w:rsid w:val="008276EC"/>
    <w:rsid w:val="00877DF8"/>
    <w:rsid w:val="008A3FC0"/>
    <w:rsid w:val="008E777A"/>
    <w:rsid w:val="00924FA9"/>
    <w:rsid w:val="009B698E"/>
    <w:rsid w:val="00AB2CC5"/>
    <w:rsid w:val="00AE32E2"/>
    <w:rsid w:val="00B01083"/>
    <w:rsid w:val="00CE1EF0"/>
    <w:rsid w:val="00E54C0B"/>
    <w:rsid w:val="00EE2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4:docId w14:val="73D58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636319"/>
    <w:pPr>
      <w:spacing w:after="0"/>
    </w:pPr>
  </w:style>
  <w:style w:type="paragraph" w:customStyle="1" w:styleId="font-claude-response-body">
    <w:name w:val="font-claude-response-body"/>
    <w:basedOn w:val="Normal"/>
    <w:rsid w:val="00924FA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4668</Words>
  <Characters>26614</Characters>
  <Application>Microsoft Office Word</Application>
  <DocSecurity>0</DocSecurity>
  <Lines>221</Lines>
  <Paragraphs>62</Paragraphs>
  <ScaleCrop>false</ScaleCrop>
  <Company/>
  <LinksUpToDate>false</LinksUpToDate>
  <CharactersWithSpaces>31220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
  <cp:revision>1</cp:revision>
  <dcterms:created xsi:type="dcterms:W3CDTF">2026-09-09T19:59:00Z</dcterms:created>
  <dcterms:modified xsi:type="dcterms:W3CDTF">2026-09-09T19:59:00Z</dcterms:modified>
</cp:coreProperties>
</file>